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56"/>
          <w:szCs w:val="56"/>
        </w:rPr>
      </w:pP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芜湖新兴炼钢部钢渣磁选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除尘设备自动化系统改造</w:t>
      </w:r>
    </w:p>
    <w:p>
      <w:pPr>
        <w:adjustRightInd w:val="0"/>
        <w:snapToGrid w:val="0"/>
        <w:jc w:val="center"/>
        <w:rPr>
          <w:rFonts w:ascii="Arial" w:hAnsi="Arial" w:eastAsia="黑体" w:cs="Arial"/>
          <w:b/>
          <w:bCs/>
          <w:sz w:val="52"/>
          <w:szCs w:val="32"/>
        </w:rPr>
      </w:pPr>
    </w:p>
    <w:p>
      <w:pPr>
        <w:adjustRightInd w:val="0"/>
        <w:snapToGrid w:val="0"/>
        <w:jc w:val="center"/>
        <w:rPr>
          <w:rFonts w:ascii="Arial" w:hAnsi="Arial" w:eastAsia="黑体" w:cs="Arial"/>
          <w:b/>
          <w:bCs/>
          <w:sz w:val="52"/>
          <w:szCs w:val="32"/>
        </w:rPr>
      </w:pPr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bookmarkStart w:id="70" w:name="_GoBack"/>
      <w:bookmarkEnd w:id="70"/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技</w:t>
      </w:r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术</w:t>
      </w:r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规</w:t>
      </w:r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格</w:t>
      </w:r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书</w:t>
      </w:r>
    </w:p>
    <w:p>
      <w:pPr>
        <w:adjustRightInd w:val="0"/>
        <w:snapToGrid w:val="0"/>
        <w:jc w:val="center"/>
        <w:rPr>
          <w:rFonts w:ascii="宋体" w:hAnsi="宋体"/>
        </w:rPr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</w:pPr>
    </w:p>
    <w:p>
      <w:pPr>
        <w:ind w:firstLine="3654" w:firstLineChars="1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编写：  </w:t>
      </w:r>
    </w:p>
    <w:p>
      <w:pPr>
        <w:ind w:left="364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审核：</w:t>
      </w:r>
    </w:p>
    <w:p>
      <w:pPr>
        <w:ind w:left="364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会签：</w:t>
      </w:r>
    </w:p>
    <w:p>
      <w:pPr>
        <w:ind w:left="364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批准：                      </w:t>
      </w:r>
    </w:p>
    <w:p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安徽·芜湖</w:t>
      </w:r>
    </w:p>
    <w:p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2021年11月</w:t>
      </w:r>
    </w:p>
    <w:p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/>
          <w:szCs w:val="28"/>
        </w:r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概述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芜湖新兴炼钢钢渣处理车间现有3套独立除尘系统，缺少必要的远传仪表，包括温度、压力、料位等，其中2套控制系统无上位机系统，不能进行远程操控。为便于岗位的操作和监控，以及对除尘设备的保护和有效运行，对此系统进行技术改造。</w:t>
      </w:r>
    </w:p>
    <w:p>
      <w:pPr>
        <w:pStyle w:val="2"/>
      </w:pPr>
      <w:bookmarkStart w:id="0" w:name="_Toc111"/>
      <w:bookmarkStart w:id="1" w:name="_Toc5469"/>
      <w:bookmarkStart w:id="2" w:name="_Toc22291"/>
      <w:bookmarkStart w:id="3" w:name="_Toc27185"/>
      <w:bookmarkStart w:id="4" w:name="_Toc6808"/>
      <w:bookmarkStart w:id="5" w:name="_Toc366504852"/>
      <w:bookmarkStart w:id="6" w:name="_Toc356308978"/>
      <w:bookmarkStart w:id="7" w:name="_Toc299117737"/>
      <w:bookmarkStart w:id="8" w:name="_Toc468291077"/>
      <w:bookmarkStart w:id="9" w:name="_Toc13082"/>
      <w:r>
        <w:rPr>
          <w:rFonts w:hint="eastAsia"/>
        </w:rPr>
        <w:t>2、改造依据及</w:t>
      </w:r>
      <w:bookmarkEnd w:id="0"/>
      <w:bookmarkEnd w:id="1"/>
      <w:bookmarkEnd w:id="2"/>
      <w:bookmarkEnd w:id="3"/>
      <w:bookmarkEnd w:id="4"/>
      <w:bookmarkStart w:id="10" w:name="_Toc404074401"/>
      <w:bookmarkStart w:id="11" w:name="_Toc395951781"/>
      <w:bookmarkStart w:id="12" w:name="_Toc402533000"/>
      <w:bookmarkStart w:id="13" w:name="_Toc414090682"/>
      <w:bookmarkStart w:id="14" w:name="_Toc404068722"/>
      <w:bookmarkStart w:id="15" w:name="_Toc404331078"/>
      <w:r>
        <w:rPr>
          <w:rFonts w:hint="eastAsia"/>
        </w:rPr>
        <w:t>要求</w:t>
      </w:r>
    </w:p>
    <w:p>
      <w:pPr>
        <w:pStyle w:val="3"/>
      </w:pPr>
      <w:r>
        <w:rPr>
          <w:rFonts w:hint="eastAsia"/>
        </w:rPr>
        <w:t>2.1改造依据</w:t>
      </w:r>
    </w:p>
    <w:p>
      <w:pPr>
        <w:pStyle w:val="4"/>
        <w:spacing w:line="360" w:lineRule="auto"/>
        <w:ind w:firstLine="480" w:firstLineChars="200"/>
      </w:pPr>
      <w:r>
        <w:rPr>
          <w:rFonts w:hint="eastAsia"/>
        </w:rPr>
        <w:t>现场考察情况及相关初始资料，包括：</w:t>
      </w:r>
    </w:p>
    <w:p>
      <w:pPr>
        <w:pStyle w:val="4"/>
        <w:numPr>
          <w:ilvl w:val="0"/>
          <w:numId w:val="2"/>
        </w:numPr>
        <w:spacing w:line="360" w:lineRule="auto"/>
      </w:pPr>
      <w:r>
        <w:rPr>
          <w:rFonts w:hint="eastAsia"/>
        </w:rPr>
        <w:t>现场设备基本参数；</w:t>
      </w:r>
    </w:p>
    <w:p>
      <w:pPr>
        <w:pStyle w:val="4"/>
        <w:numPr>
          <w:ilvl w:val="0"/>
          <w:numId w:val="2"/>
        </w:numPr>
        <w:spacing w:line="360" w:lineRule="auto"/>
      </w:pPr>
      <w:r>
        <w:rPr>
          <w:rFonts w:hint="eastAsia"/>
        </w:rPr>
        <w:t>现场设备基础布局；</w:t>
      </w:r>
    </w:p>
    <w:p>
      <w:pPr>
        <w:pStyle w:val="4"/>
        <w:numPr>
          <w:ilvl w:val="0"/>
          <w:numId w:val="2"/>
        </w:numPr>
        <w:spacing w:line="360" w:lineRule="auto"/>
      </w:pPr>
      <w:r>
        <w:rPr>
          <w:rFonts w:hint="eastAsia"/>
        </w:rPr>
        <w:t>现场设备需完善与替换部分；</w:t>
      </w:r>
    </w:p>
    <w:p>
      <w:pPr>
        <w:pStyle w:val="4"/>
        <w:numPr>
          <w:ilvl w:val="0"/>
          <w:numId w:val="2"/>
        </w:numPr>
        <w:spacing w:line="360" w:lineRule="auto"/>
      </w:pPr>
      <w:r>
        <w:rPr>
          <w:rFonts w:hint="eastAsia"/>
        </w:rPr>
        <w:t>原控制系统硬件配置；</w:t>
      </w:r>
    </w:p>
    <w:p>
      <w:pPr>
        <w:pStyle w:val="4"/>
        <w:numPr>
          <w:ilvl w:val="0"/>
          <w:numId w:val="2"/>
        </w:numPr>
        <w:spacing w:line="360" w:lineRule="auto"/>
      </w:pPr>
      <w:r>
        <w:rPr>
          <w:rFonts w:hint="eastAsia"/>
        </w:rPr>
        <w:t>原《炼钢钢渣处理车间DFMC-1755脉冲布袋除尘器电控原理图》；</w:t>
      </w:r>
    </w:p>
    <w:p>
      <w:pPr>
        <w:pStyle w:val="4"/>
        <w:numPr>
          <w:ilvl w:val="0"/>
          <w:numId w:val="2"/>
        </w:numPr>
        <w:spacing w:line="360" w:lineRule="auto"/>
      </w:pPr>
      <w:r>
        <w:rPr>
          <w:rFonts w:hint="eastAsia"/>
        </w:rPr>
        <w:t>原《炼钢钢渣处理车间PPC-780脉冲布袋除尘器电控原理图》。</w:t>
      </w:r>
    </w:p>
    <w:p>
      <w:pPr>
        <w:pStyle w:val="3"/>
      </w:pPr>
      <w:bookmarkStart w:id="16" w:name="_Toc485107553"/>
      <w:bookmarkStart w:id="17" w:name="_Toc15986"/>
      <w:bookmarkStart w:id="18" w:name="_Toc60758251"/>
      <w:bookmarkStart w:id="19" w:name="_Toc6895"/>
      <w:bookmarkStart w:id="20" w:name="_Toc12361"/>
      <w:bookmarkStart w:id="21" w:name="_Toc23016"/>
      <w:bookmarkStart w:id="22" w:name="_Toc420920910"/>
      <w:bookmarkStart w:id="23" w:name="_Toc21312"/>
      <w:r>
        <w:rPr>
          <w:rFonts w:hint="eastAsia"/>
        </w:rPr>
        <w:t xml:space="preserve">2.2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/>
        </w:rPr>
        <w:t>改造要求</w:t>
      </w:r>
    </w:p>
    <w:p>
      <w:pPr>
        <w:pStyle w:val="4"/>
        <w:spacing w:line="360" w:lineRule="auto"/>
      </w:pPr>
      <w:r>
        <w:rPr>
          <w:rFonts w:hint="eastAsia"/>
        </w:rPr>
        <w:t>根据招标方岗位及技术人员提出的改造要求为：</w:t>
      </w:r>
    </w:p>
    <w:p>
      <w:pPr>
        <w:pStyle w:val="4"/>
        <w:spacing w:line="360" w:lineRule="auto"/>
        <w:ind w:firstLine="0"/>
      </w:pPr>
      <w:r>
        <w:rPr>
          <w:rFonts w:hint="eastAsia"/>
        </w:rPr>
        <w:t>2.2.1 硬件要求：</w:t>
      </w:r>
    </w:p>
    <w:p>
      <w:pPr>
        <w:pStyle w:val="4"/>
        <w:spacing w:line="360" w:lineRule="auto"/>
        <w:ind w:firstLine="480"/>
      </w:pPr>
      <w:r>
        <w:rPr>
          <w:rFonts w:hint="eastAsia"/>
        </w:rPr>
        <w:t>现场能利旧的一律利旧，不能利旧的部分为：就地仪表改为远程仪表，信号接入控制系统；损坏的电仪设备进行更换，包括温度传感器、电动执行器、振动电机、料位计等；原控制柜及柜内设备利旧，包括PLC硬件，因改造需要增加的IO模块及通讯模块在原系统基础上增加，并留有IO余量不少于25%；</w:t>
      </w:r>
    </w:p>
    <w:p>
      <w:pPr>
        <w:pStyle w:val="4"/>
        <w:spacing w:line="360" w:lineRule="auto"/>
        <w:ind w:firstLine="480"/>
      </w:pPr>
      <w:r>
        <w:rPr>
          <w:rFonts w:hint="eastAsia"/>
        </w:rPr>
        <w:t>上位机采用工业计算机，主机配置不低于i7-9代/8g/256g固态/，配套24吋显示器及键鼠套装。</w:t>
      </w:r>
    </w:p>
    <w:p>
      <w:pPr>
        <w:pStyle w:val="4"/>
        <w:spacing w:line="360" w:lineRule="auto"/>
        <w:ind w:firstLine="0"/>
      </w:pPr>
      <w:r>
        <w:rPr>
          <w:rFonts w:hint="eastAsia"/>
        </w:rPr>
        <w:t>2.2.2 软件要求：</w:t>
      </w:r>
    </w:p>
    <w:p>
      <w:pPr>
        <w:pStyle w:val="4"/>
        <w:spacing w:line="360" w:lineRule="auto"/>
        <w:ind w:firstLine="480"/>
      </w:pPr>
      <w:r>
        <w:rPr>
          <w:rFonts w:hint="eastAsia"/>
        </w:rPr>
        <w:t>因原系统硬件配置为西门子S7-300系列PLC，以及考虑甲方对上位机软件WINCC的熟悉程度，因此，软件配置为Step7 V5.6+WinCC V7.4，含专用授权。</w:t>
      </w:r>
    </w:p>
    <w:p>
      <w:pPr>
        <w:pStyle w:val="4"/>
        <w:spacing w:line="360" w:lineRule="auto"/>
        <w:ind w:firstLine="0"/>
      </w:pPr>
      <w:bookmarkStart w:id="24" w:name="_Toc30541"/>
      <w:bookmarkStart w:id="25" w:name="_Toc60758252"/>
      <w:bookmarkStart w:id="26" w:name="_Toc14730"/>
      <w:bookmarkStart w:id="27" w:name="_Toc420920911"/>
      <w:bookmarkStart w:id="28" w:name="_Toc485107554"/>
      <w:bookmarkStart w:id="29" w:name="_Toc15374"/>
      <w:bookmarkStart w:id="30" w:name="_Toc3220"/>
      <w:bookmarkStart w:id="31" w:name="_Toc2223"/>
      <w:r>
        <w:rPr>
          <w:rFonts w:hint="eastAsia"/>
        </w:rPr>
        <w:t>2.2.3功能要求：</w:t>
      </w:r>
    </w:p>
    <w:p>
      <w:pPr>
        <w:pStyle w:val="4"/>
        <w:numPr>
          <w:ilvl w:val="0"/>
          <w:numId w:val="3"/>
        </w:numPr>
        <w:spacing w:line="360" w:lineRule="auto"/>
      </w:pPr>
      <w:r>
        <w:rPr>
          <w:rFonts w:hint="eastAsia"/>
        </w:rPr>
        <w:t>上位机功能</w:t>
      </w:r>
    </w:p>
    <w:p>
      <w:pPr>
        <w:pStyle w:val="4"/>
        <w:spacing w:line="360" w:lineRule="auto"/>
        <w:ind w:firstLine="480"/>
      </w:pPr>
      <w:r>
        <w:rPr>
          <w:rFonts w:hint="eastAsia"/>
        </w:rPr>
        <w:t>3套除尘系统融入1台上位机，主画面可同时监控3套除尘系统的关键参数，具备必要的上位机远程操作功能，具备数据记录、趋势记录、报警记录及历史记录查询功能，数据一年内可查。</w:t>
      </w:r>
    </w:p>
    <w:p>
      <w:pPr>
        <w:pStyle w:val="4"/>
        <w:numPr>
          <w:ilvl w:val="0"/>
          <w:numId w:val="3"/>
        </w:numPr>
        <w:spacing w:line="360" w:lineRule="auto"/>
      </w:pPr>
      <w:r>
        <w:rPr>
          <w:rFonts w:hint="eastAsia"/>
        </w:rPr>
        <w:t>控制系统功能</w:t>
      </w:r>
    </w:p>
    <w:p>
      <w:pPr>
        <w:pStyle w:val="4"/>
        <w:spacing w:line="360" w:lineRule="auto"/>
        <w:ind w:firstLine="0"/>
      </w:pPr>
      <w:r>
        <w:rPr>
          <w:rFonts w:hint="eastAsia"/>
        </w:rPr>
        <w:t xml:space="preserve">    具备必要的上位机远程操作功能，如：开停风机、执行器、振动器、脉冲吹扫、格式阀等；操作方式可选为手动和自动功能；具备相关联锁及解除联锁功能等。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Style w:val="2"/>
      </w:pPr>
      <w:bookmarkStart w:id="32" w:name="_Toc11113"/>
      <w:bookmarkStart w:id="33" w:name="_Toc22722"/>
      <w:bookmarkStart w:id="34" w:name="_Toc23105"/>
      <w:bookmarkStart w:id="35" w:name="_Toc933"/>
      <w:bookmarkStart w:id="36" w:name="_Toc18225"/>
      <w:r>
        <w:rPr>
          <w:rFonts w:hint="eastAsia"/>
        </w:rPr>
        <w:t>3、改造技术方案</w:t>
      </w:r>
      <w:bookmarkEnd w:id="32"/>
      <w:bookmarkEnd w:id="33"/>
      <w:bookmarkEnd w:id="34"/>
      <w:bookmarkEnd w:id="35"/>
      <w:bookmarkEnd w:id="36"/>
    </w:p>
    <w:p>
      <w:pPr>
        <w:pStyle w:val="3"/>
        <w:rPr>
          <w:sz w:val="24"/>
        </w:rPr>
      </w:pPr>
      <w:bookmarkStart w:id="37" w:name="_Toc23076"/>
      <w:bookmarkStart w:id="38" w:name="_Toc14024"/>
      <w:bookmarkStart w:id="39" w:name="_Toc11647"/>
      <w:bookmarkStart w:id="40" w:name="_Toc6122"/>
      <w:bookmarkStart w:id="41" w:name="_Toc478"/>
      <w:r>
        <w:rPr>
          <w:rFonts w:hint="eastAsia"/>
          <w:sz w:val="24"/>
        </w:rPr>
        <w:t>3.1 自动化控制</w:t>
      </w:r>
      <w:bookmarkEnd w:id="37"/>
      <w:bookmarkEnd w:id="38"/>
      <w:bookmarkEnd w:id="39"/>
      <w:bookmarkEnd w:id="40"/>
      <w:bookmarkEnd w:id="41"/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3.1.1 自动化软硬件配置清单</w:t>
      </w:r>
    </w:p>
    <w:p>
      <w:pPr>
        <w:adjustRightInd w:val="0"/>
        <w:snapToGrid w:val="0"/>
        <w:rPr>
          <w:rFonts w:ascii="宋体" w:hAnsi="宋体" w:cs="宋体"/>
          <w:sz w:val="24"/>
        </w:rPr>
      </w:pPr>
    </w:p>
    <w:tbl>
      <w:tblPr>
        <w:tblStyle w:val="9"/>
        <w:tblW w:w="7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92"/>
        <w:gridCol w:w="3324"/>
        <w:gridCol w:w="888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DI模块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6ES7 321-1BL00-0AA0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DO模块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6ES7 322-1BL00-0AA0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AI模块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6ES7 331-1KF02-0AB0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AO模块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6ES7 332-5BH01-0AB0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以太网模块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6GK7 343-1CX10-0XE0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温度隔离器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NPWD-C1D.RTD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信号隔离器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NPGL-CM11L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EDS-208A-S-SC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工控机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610L-A683/</w:t>
            </w:r>
            <w:r>
              <w:rPr>
                <w:rFonts w:hint="eastAsia"/>
              </w:rPr>
              <w:t>i7-9代，8g内存，256g固态硬盘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显示器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23.8寸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软件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Step7、wincc及授权许可证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温度传感器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PT100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电流变送器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压力变送器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雷达料位计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VEGA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两线制 0~30米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振动电机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电动执行器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屏蔽电缆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若干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现场操作箱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</w:t>
      </w:r>
      <w:r>
        <w:rPr>
          <w:rFonts w:hint="eastAsia" w:ascii="宋体" w:hAnsi="宋体" w:cs="宋体"/>
          <w:b/>
          <w:bCs/>
          <w:sz w:val="24"/>
        </w:rPr>
        <w:t xml:space="preserve"> 说明：本表中所列设备及元器件仅供参考，投标方应根据现场实际情况给出合理方案和供货清单，必须保证投标方此除尘系统系统的完整性和可靠性。</w:t>
      </w:r>
    </w:p>
    <w:p>
      <w:pPr>
        <w:adjustRightInd w:val="0"/>
        <w:snapToGrid w:val="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3.1.2控制系统示意图</w:t>
      </w:r>
    </w:p>
    <w:p>
      <w:pPr>
        <w:adjustRightInd w:val="0"/>
        <w:snapToGrid w:val="0"/>
        <w:rPr>
          <w:rFonts w:ascii="华文细黑" w:hAnsi="华文细黑" w:eastAsia="华文细黑" w:cs="华文细黑"/>
          <w:bCs/>
          <w:szCs w:val="21"/>
        </w:rPr>
      </w:pPr>
    </w:p>
    <w:p>
      <w:pPr>
        <w:adjustRightInd w:val="0"/>
        <w:snapToGrid w:val="0"/>
        <w:rPr>
          <w:rFonts w:ascii="华文细黑" w:hAnsi="华文细黑" w:eastAsia="华文细黑" w:cs="华文细黑"/>
          <w:bCs/>
          <w:szCs w:val="21"/>
        </w:rPr>
      </w:pPr>
      <w:r>
        <w:rPr>
          <w:rFonts w:ascii="华文细黑" w:hAnsi="华文细黑" w:eastAsia="华文细黑" w:cs="华文细黑"/>
          <w:bCs/>
          <w:szCs w:val="21"/>
        </w:rPr>
        <w:pict>
          <v:shape id="_x0000_i1025" o:spt="75" type="#_x0000_t75" style="height:230.95pt;width:41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rPr>
          <w:rFonts w:ascii="华文细黑" w:hAnsi="华文细黑" w:eastAsia="华文细黑" w:cs="华文细黑"/>
          <w:bCs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2.1.3 技术方案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、在原系统基础上，每个除尘PLC柜内增加以太网通讯模块及光电交换机，使各站点具备远程以太网通讯功能。将3个站点进行组网，最终汇总至一台上位机，通过软件的程序编写和组态，使该上位机实现对3套除尘系统的全部监控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b、新增补齐现场缺失的、损坏的设备及仪表（详见硬件清单），并使之与原控制柜对接，实现系统对现场数据的采集和对象控制。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c、控制模式与功能</w:t>
      </w:r>
    </w:p>
    <w:p>
      <w:pPr>
        <w:pStyle w:val="4"/>
        <w:spacing w:line="360" w:lineRule="auto"/>
        <w:ind w:firstLine="48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通过对原控制系统程序的修改与完善，实现对3套除尘系统的数据采集和对象控制，具备手动和自动操作功能，在</w:t>
      </w:r>
      <w:r>
        <w:rPr>
          <w:rFonts w:hint="eastAsia"/>
        </w:rPr>
        <w:t>上位机上可实现远程操作功能，具备数据记录、趋势记录、报警记录及历史记录查询功能。</w:t>
      </w:r>
      <w:bookmarkEnd w:id="5"/>
      <w:bookmarkEnd w:id="10"/>
      <w:bookmarkEnd w:id="11"/>
      <w:bookmarkEnd w:id="12"/>
      <w:bookmarkEnd w:id="13"/>
      <w:bookmarkEnd w:id="14"/>
      <w:bookmarkEnd w:id="15"/>
    </w:p>
    <w:p>
      <w:pPr>
        <w:pStyle w:val="2"/>
      </w:pPr>
      <w:bookmarkStart w:id="42" w:name="_Toc26885"/>
      <w:bookmarkStart w:id="43" w:name="_Toc1844"/>
      <w:bookmarkStart w:id="44" w:name="_Toc30778"/>
      <w:bookmarkStart w:id="45" w:name="_Toc18991"/>
      <w:bookmarkStart w:id="46" w:name="_Toc30528"/>
      <w:r>
        <w:rPr>
          <w:rFonts w:hint="eastAsia"/>
        </w:rPr>
        <w:t>5、职责范围</w:t>
      </w:r>
      <w:bookmarkEnd w:id="42"/>
      <w:bookmarkEnd w:id="43"/>
      <w:bookmarkEnd w:id="44"/>
      <w:bookmarkEnd w:id="45"/>
      <w:bookmarkEnd w:id="46"/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bookmarkStart w:id="47" w:name="_Toc23284"/>
      <w:r>
        <w:rPr>
          <w:rFonts w:hint="eastAsia" w:ascii="宋体" w:hAnsi="宋体" w:cs="宋体"/>
          <w:sz w:val="24"/>
        </w:rPr>
        <w:t>5.1 投标方负责提供</w:t>
      </w:r>
      <w:bookmarkEnd w:id="47"/>
      <w:bookmarkStart w:id="48" w:name="_Toc24538"/>
      <w:r>
        <w:rPr>
          <w:rFonts w:hint="eastAsia" w:ascii="宋体" w:hAnsi="宋体" w:cs="宋体"/>
          <w:sz w:val="24"/>
        </w:rPr>
        <w:t>配置清单内的全部设备及材料，并负责编程调试工作，；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调试完成后，投标方应为招标方的现场技术人员进行必要的培训，不低于半天。</w:t>
      </w:r>
      <w:bookmarkEnd w:id="48"/>
    </w:p>
    <w:p>
      <w:pPr>
        <w:spacing w:line="360" w:lineRule="auto"/>
        <w:rPr>
          <w:rFonts w:ascii="宋体" w:hAnsi="宋体" w:cs="宋体"/>
          <w:sz w:val="24"/>
        </w:rPr>
      </w:pPr>
      <w:bookmarkStart w:id="49" w:name="_Toc19978"/>
      <w:r>
        <w:rPr>
          <w:rFonts w:hint="eastAsia" w:ascii="宋体" w:hAnsi="宋体" w:cs="宋体"/>
          <w:sz w:val="24"/>
        </w:rPr>
        <w:t>并提供竣工资料（电气原理图、PLC及HMI程序备份等）的交付。</w:t>
      </w:r>
      <w:bookmarkEnd w:id="6"/>
      <w:bookmarkEnd w:id="7"/>
      <w:bookmarkEnd w:id="49"/>
    </w:p>
    <w:p>
      <w:pPr>
        <w:spacing w:line="360" w:lineRule="auto"/>
        <w:ind w:firstLine="360" w:firstLine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5.2 现场施工由招标方负责，投标方负责现场技术指导。</w:t>
      </w:r>
    </w:p>
    <w:p>
      <w:pPr>
        <w:pStyle w:val="2"/>
      </w:pPr>
      <w:bookmarkStart w:id="50" w:name="_Toc23398"/>
      <w:bookmarkStart w:id="51" w:name="_Toc13376"/>
      <w:bookmarkStart w:id="52" w:name="_Toc5706"/>
      <w:bookmarkStart w:id="53" w:name="_Toc32171"/>
      <w:bookmarkStart w:id="54" w:name="_Toc10680"/>
      <w:r>
        <w:rPr>
          <w:rFonts w:hint="eastAsia"/>
        </w:rPr>
        <w:t>6、售后服务保证</w:t>
      </w:r>
      <w:bookmarkEnd w:id="50"/>
      <w:bookmarkEnd w:id="51"/>
      <w:bookmarkEnd w:id="52"/>
      <w:bookmarkEnd w:id="53"/>
      <w:bookmarkEnd w:id="54"/>
    </w:p>
    <w:p>
      <w:pPr>
        <w:pStyle w:val="3"/>
        <w:rPr>
          <w:sz w:val="24"/>
        </w:rPr>
      </w:pPr>
      <w:bookmarkStart w:id="55" w:name="_Toc12103"/>
      <w:bookmarkStart w:id="56" w:name="_Toc10636"/>
      <w:bookmarkStart w:id="57" w:name="_Toc30054"/>
      <w:bookmarkStart w:id="58" w:name="_Toc31427"/>
      <w:bookmarkStart w:id="59" w:name="_Toc14587"/>
      <w:r>
        <w:rPr>
          <w:rFonts w:hint="eastAsia"/>
          <w:sz w:val="24"/>
        </w:rPr>
        <w:t>6.1现场服务</w:t>
      </w:r>
      <w:bookmarkEnd w:id="55"/>
      <w:bookmarkEnd w:id="56"/>
      <w:bookmarkEnd w:id="57"/>
      <w:bookmarkEnd w:id="58"/>
      <w:bookmarkEnd w:id="59"/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自安装调试完成交付招标方之日起，不论何时发生质量问题， 在接到来电后1 小时内进行技术答疑，对问题较严重或答疑后，招标方6小时内仍无法处理好，投标方需在12小时赶到现场解决。</w:t>
      </w:r>
    </w:p>
    <w:p>
      <w:pPr>
        <w:pStyle w:val="3"/>
        <w:rPr>
          <w:sz w:val="24"/>
        </w:rPr>
      </w:pPr>
      <w:bookmarkStart w:id="60" w:name="_Toc5682"/>
      <w:bookmarkStart w:id="61" w:name="_Toc7883"/>
      <w:bookmarkStart w:id="62" w:name="_Toc8958"/>
      <w:bookmarkStart w:id="63" w:name="_Toc26535"/>
      <w:bookmarkStart w:id="64" w:name="_Toc25286"/>
      <w:r>
        <w:rPr>
          <w:rFonts w:hint="eastAsia"/>
          <w:sz w:val="24"/>
        </w:rPr>
        <w:t>6.2质量保证</w:t>
      </w:r>
      <w:bookmarkEnd w:id="60"/>
      <w:bookmarkEnd w:id="61"/>
      <w:bookmarkEnd w:id="62"/>
      <w:bookmarkEnd w:id="63"/>
      <w:bookmarkEnd w:id="64"/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保质期为1年</w:t>
      </w:r>
      <w:r>
        <w:rPr>
          <w:rFonts w:hint="eastAsia"/>
          <w:sz w:val="24"/>
        </w:rPr>
        <w:t>，在保质期内， 负责免费维修及免费更换因产品质量原因导致的损坏零部件，包括调换合格产品（人为、环境及不可抗力原因除外）。</w:t>
      </w:r>
    </w:p>
    <w:p>
      <w:pPr>
        <w:pStyle w:val="3"/>
        <w:rPr>
          <w:sz w:val="24"/>
        </w:rPr>
      </w:pPr>
      <w:bookmarkStart w:id="65" w:name="_Toc28133"/>
      <w:bookmarkStart w:id="66" w:name="_Toc2303"/>
      <w:bookmarkStart w:id="67" w:name="_Toc15422"/>
      <w:bookmarkStart w:id="68" w:name="_Toc12742"/>
      <w:bookmarkStart w:id="69" w:name="_Toc18494"/>
      <w:r>
        <w:rPr>
          <w:rFonts w:hint="eastAsia"/>
          <w:sz w:val="24"/>
        </w:rPr>
        <w:t>6.3售后服务</w:t>
      </w:r>
      <w:bookmarkEnd w:id="65"/>
      <w:bookmarkEnd w:id="66"/>
      <w:bookmarkEnd w:id="67"/>
      <w:bookmarkEnd w:id="68"/>
      <w:bookmarkEnd w:id="69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在保质期外，仍负责维修及更换零部件，但投标方应支付相关费用，保证长期以成本价提供零部件。</w:t>
      </w:r>
      <w:bookmarkEnd w:id="8"/>
      <w:bookmarkEnd w:id="9"/>
    </w:p>
    <w:p/>
    <w:p>
      <w:pPr>
        <w:jc w:val="center"/>
        <w:rPr>
          <w:b/>
          <w:bCs/>
          <w:sz w:val="30"/>
          <w:szCs w:val="30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666699" w:sz="4" w:space="0"/>
      </w:pBdr>
      <w:tabs>
        <w:tab w:val="center" w:pos="4153"/>
        <w:tab w:val="center" w:pos="4365"/>
        <w:tab w:val="clear" w:pos="4320"/>
        <w:tab w:val="clear" w:pos="8640"/>
      </w:tabs>
      <w:adjustRightInd/>
      <w:snapToGrid w:val="0"/>
      <w:spacing w:line="168" w:lineRule="auto"/>
      <w:ind w:left="-1758" w:leftChars="-837" w:right="-1756" w:rightChars="-836" w:firstLine="2550" w:firstLineChars="1700"/>
      <w:jc w:val="left"/>
      <w:textAlignment w:val="auto"/>
      <w:rPr>
        <w:sz w:val="15"/>
        <w:szCs w:val="15"/>
      </w:rPr>
    </w:pPr>
  </w:p>
  <w:p>
    <w:pPr>
      <w:pStyle w:val="6"/>
      <w:pBdr>
        <w:bottom w:val="thickThinLargeGap" w:color="666699" w:sz="4" w:space="0"/>
      </w:pBdr>
      <w:tabs>
        <w:tab w:val="center" w:pos="4153"/>
        <w:tab w:val="center" w:pos="4365"/>
        <w:tab w:val="clear" w:pos="4320"/>
        <w:tab w:val="clear" w:pos="8640"/>
      </w:tabs>
      <w:adjustRightInd/>
      <w:snapToGrid w:val="0"/>
      <w:spacing w:line="168" w:lineRule="auto"/>
      <w:ind w:left="-1758" w:leftChars="-837" w:right="-1756" w:rightChars="-836" w:firstLine="2550" w:firstLineChars="1700"/>
      <w:jc w:val="left"/>
      <w:textAlignment w:val="auto"/>
      <w:rPr>
        <w:sz w:val="15"/>
        <w:szCs w:val="15"/>
      </w:rPr>
    </w:pPr>
  </w:p>
  <w:p>
    <w:pPr>
      <w:pStyle w:val="6"/>
      <w:pBdr>
        <w:bottom w:val="thickThinLargeGap" w:color="666699" w:sz="4" w:space="0"/>
      </w:pBdr>
      <w:tabs>
        <w:tab w:val="center" w:pos="4153"/>
        <w:tab w:val="center" w:pos="4365"/>
        <w:tab w:val="clear" w:pos="4320"/>
        <w:tab w:val="clear" w:pos="8640"/>
      </w:tabs>
      <w:adjustRightInd/>
      <w:snapToGrid w:val="0"/>
      <w:spacing w:line="168" w:lineRule="auto"/>
      <w:ind w:left="-1758" w:leftChars="-837" w:right="-1756" w:rightChars="-836" w:firstLine="2550" w:firstLineChars="1700"/>
      <w:jc w:val="left"/>
      <w:textAlignment w:val="auto"/>
      <w:rPr>
        <w:sz w:val="15"/>
        <w:szCs w:val="15"/>
      </w:rPr>
    </w:pPr>
  </w:p>
  <w:p>
    <w:pPr>
      <w:pStyle w:val="6"/>
      <w:tabs>
        <w:tab w:val="center" w:pos="4153"/>
        <w:tab w:val="clear" w:pos="4320"/>
        <w:tab w:val="clear" w:pos="8640"/>
      </w:tabs>
      <w:adjustRightInd/>
      <w:snapToGrid w:val="0"/>
      <w:spacing w:line="168" w:lineRule="auto"/>
      <w:ind w:right="-1766" w:rightChars="-841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 w:tentative="0">
      <w:start w:val="1"/>
      <w:numFmt w:val="lowerLetter"/>
      <w:suff w:val="nothing"/>
      <w:lvlText w:val="%1、"/>
      <w:lvlJc w:val="left"/>
    </w:lvl>
  </w:abstractNum>
  <w:abstractNum w:abstractNumId="2">
    <w:nsid w:val="0053208E"/>
    <w:multiLevelType w:val="singleLevel"/>
    <w:tmpl w:val="0053208E"/>
    <w:lvl w:ilvl="0" w:tentative="0">
      <w:start w:val="1"/>
      <w:numFmt w:val="lowerLetter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54D"/>
    <w:rsid w:val="00585525"/>
    <w:rsid w:val="00794B0C"/>
    <w:rsid w:val="00914A1B"/>
    <w:rsid w:val="00F3754D"/>
    <w:rsid w:val="520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adjustRightInd w:val="0"/>
      <w:spacing w:before="100" w:after="90" w:line="578" w:lineRule="atLeast"/>
      <w:jc w:val="left"/>
      <w:textAlignment w:val="baseline"/>
      <w:outlineLvl w:val="0"/>
    </w:pPr>
    <w:rPr>
      <w:rFonts w:ascii="Times New Roman" w:hAnsi="Times New Roman" w:eastAsia="华文细黑"/>
      <w:b/>
      <w:kern w:val="44"/>
      <w:sz w:val="24"/>
    </w:rPr>
  </w:style>
  <w:style w:type="paragraph" w:styleId="3">
    <w:name w:val="heading 2"/>
    <w:basedOn w:val="1"/>
    <w:next w:val="4"/>
    <w:uiPriority w:val="0"/>
    <w:pPr>
      <w:keepNext/>
      <w:keepLines/>
      <w:adjustRightInd w:val="0"/>
      <w:spacing w:before="20" w:after="20" w:line="416" w:lineRule="atLeast"/>
      <w:jc w:val="left"/>
      <w:textAlignment w:val="baseline"/>
      <w:outlineLvl w:val="1"/>
    </w:pPr>
    <w:rPr>
      <w:rFonts w:ascii="Arial" w:hAnsi="Arial" w:eastAsia="华文细黑"/>
      <w:b/>
      <w:kern w:val="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5">
    <w:name w:val="footer"/>
    <w:basedOn w:val="1"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6">
    <w:name w:val="header"/>
    <w:basedOn w:val="1"/>
    <w:uiPriority w:val="0"/>
    <w:pPr>
      <w:tabs>
        <w:tab w:val="center" w:pos="4320"/>
        <w:tab w:val="right" w:pos="8640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7">
    <w:name w:val="Subtitle"/>
    <w:basedOn w:val="8"/>
    <w:next w:val="1"/>
    <w:qFormat/>
    <w:uiPriority w:val="0"/>
    <w:rPr>
      <w:bCs w:val="0"/>
      <w:kern w:val="28"/>
      <w:sz w:val="36"/>
    </w:rPr>
  </w:style>
  <w:style w:type="paragraph" w:styleId="8">
    <w:name w:val="Title"/>
    <w:basedOn w:val="1"/>
    <w:next w:val="1"/>
    <w:qFormat/>
    <w:uiPriority w:val="0"/>
    <w:pPr>
      <w:jc w:val="center"/>
    </w:pPr>
    <w:rPr>
      <w:rFonts w:ascii="Arial" w:hAnsi="Arial" w:eastAsia="黑体"/>
      <w:b/>
      <w:bCs/>
      <w:sz w:val="52"/>
      <w:szCs w:val="32"/>
    </w:rPr>
  </w:style>
  <w:style w:type="character" w:customStyle="1" w:styleId="11">
    <w:name w:val="日期 Char"/>
    <w:basedOn w:val="10"/>
    <w:link w:val="12"/>
    <w:semiHidden/>
    <w:uiPriority w:val="0"/>
    <w:rPr>
      <w:rFonts w:ascii="Calibri" w:hAnsi="Calibri" w:cs="黑体"/>
      <w:kern w:val="2"/>
      <w:sz w:val="21"/>
      <w:szCs w:val="24"/>
    </w:rPr>
  </w:style>
  <w:style w:type="paragraph" w:customStyle="1" w:styleId="12">
    <w:name w:val="日期1"/>
    <w:basedOn w:val="1"/>
    <w:next w:val="1"/>
    <w:link w:val="1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1835</Characters>
  <Lines>15</Lines>
  <Paragraphs>4</Paragraphs>
  <TotalTime>4</TotalTime>
  <ScaleCrop>false</ScaleCrop>
  <LinksUpToDate>false</LinksUpToDate>
  <CharactersWithSpaces>2152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2021-02-19T07:33:00Z</dcterms:created>
  <dc:creator>Administrator</dc:creator>
  <cp:lastModifiedBy>admin</cp:lastModifiedBy>
  <dcterms:modified xsi:type="dcterms:W3CDTF">2021-11-10T04:14:46Z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0046EBE48C2F4E0F8317ADF9E7B3C379</vt:lpwstr>
  </property>
</Properties>
</file>