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lang w:val="en-US" w:eastAsia="zh-CN"/>
        </w:rPr>
        <w:t>石油焦增碳剂</w:t>
      </w: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11</w:t>
      </w:r>
      <w:r>
        <w:rPr>
          <w:rFonts w:hint="eastAsia"/>
          <w:color w:val="000000"/>
          <w:sz w:val="24"/>
          <w:szCs w:val="24"/>
        </w:rPr>
        <w:t>月</w:t>
      </w:r>
      <w:r>
        <w:rPr>
          <w:rFonts w:hint="eastAsia"/>
          <w:color w:val="000000"/>
          <w:sz w:val="24"/>
          <w:szCs w:val="24"/>
          <w:u w:val="single"/>
          <w:lang w:val="en-US" w:eastAsia="zh-CN"/>
        </w:rPr>
        <w:t>16</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ZG</w:t>
      </w:r>
      <w:bookmarkStart w:id="0" w:name="_GoBack"/>
      <w:bookmarkEnd w:id="0"/>
      <w:r>
        <w:rPr>
          <w:rFonts w:hint="eastAsia" w:ascii="宋体" w:hAnsi="宋体"/>
          <w:color w:val="000000"/>
          <w:u w:val="single"/>
          <w:lang w:val="en-US" w:eastAsia="zh-CN"/>
        </w:rPr>
        <w:t>SX</w:t>
      </w:r>
      <w:r>
        <w:rPr>
          <w:rFonts w:hint="eastAsia" w:ascii="宋体" w:hAnsi="宋体"/>
          <w:u w:val="single"/>
          <w:lang w:val="en-US" w:eastAsia="zh-CN"/>
        </w:rPr>
        <w:t>202111012SYJZTJ</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石油焦增碳剂</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 xml:space="preserve">招标办：       石  </w:t>
      </w:r>
      <w:r>
        <w:rPr>
          <w:rFonts w:hint="eastAsia" w:ascii="宋体" w:hAnsi="宋体" w:cs="Times New Roman"/>
          <w:kern w:val="2"/>
          <w:sz w:val="24"/>
          <w:szCs w:val="24"/>
          <w:highlight w:val="none"/>
          <w:lang w:val="en-US" w:eastAsia="zh-CN" w:bidi="ar-SA"/>
        </w:rPr>
        <w:t>工</w:t>
      </w:r>
      <w:r>
        <w:rPr>
          <w:rFonts w:hint="eastAsia" w:ascii="宋体" w:hAnsi="宋体" w:eastAsia="宋体" w:cs="Times New Roman"/>
          <w:kern w:val="2"/>
          <w:sz w:val="24"/>
          <w:szCs w:val="24"/>
          <w:highlight w:val="none"/>
          <w:lang w:val="en-US" w:eastAsia="zh-CN" w:bidi="ar-SA"/>
        </w:rPr>
        <w:t>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 xml:space="preserve">炉料部：     </w:t>
      </w:r>
      <w:r>
        <w:rPr>
          <w:rFonts w:hint="eastAsia" w:ascii="宋体" w:hAnsi="宋体" w:cs="Times New Roman"/>
          <w:kern w:val="2"/>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 xml:space="preserve"> </w:t>
      </w:r>
      <w:r>
        <w:rPr>
          <w:rFonts w:hint="eastAsia" w:ascii="宋体" w:hAnsi="宋体" w:cs="Times New Roman"/>
          <w:kern w:val="2"/>
          <w:sz w:val="24"/>
          <w:szCs w:val="24"/>
          <w:highlight w:val="none"/>
          <w:lang w:val="en-US" w:eastAsia="zh-CN" w:bidi="ar-SA"/>
        </w:rPr>
        <w:t>柯  工</w:t>
      </w:r>
      <w:r>
        <w:rPr>
          <w:rFonts w:hint="eastAsia" w:ascii="宋体" w:hAnsi="宋体" w:eastAsia="宋体" w:cs="Times New Roman"/>
          <w:kern w:val="2"/>
          <w:sz w:val="24"/>
          <w:szCs w:val="24"/>
          <w:highlight w:val="none"/>
          <w:lang w:val="en-US" w:eastAsia="zh-CN" w:bidi="ar-SA"/>
        </w:rPr>
        <w:t xml:space="preserve">    13955388390</w:t>
      </w:r>
    </w:p>
    <w:p>
      <w:pPr>
        <w:spacing w:line="300" w:lineRule="auto"/>
        <w:ind w:firstLine="600"/>
        <w:rPr>
          <w:rFonts w:hint="eastAsia" w:ascii="宋体" w:hAnsi="宋体"/>
          <w:bCs/>
          <w:color w:val="000000"/>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lang w:val="en-US" w:eastAsia="zh-CN"/>
        </w:rPr>
        <w:t>11</w:t>
      </w:r>
      <w:r>
        <w:rPr>
          <w:rFonts w:ascii="宋体" w:hAnsi="宋体"/>
          <w:bCs/>
          <w:sz w:val="24"/>
          <w:szCs w:val="24"/>
        </w:rPr>
        <w:t>月</w:t>
      </w:r>
      <w:r>
        <w:rPr>
          <w:rFonts w:hint="eastAsia" w:ascii="宋体" w:hAnsi="宋体"/>
          <w:bCs/>
          <w:sz w:val="24"/>
          <w:szCs w:val="24"/>
          <w:u w:val="single"/>
          <w:lang w:val="en-US" w:eastAsia="zh-CN"/>
        </w:rPr>
        <w:t>23</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11</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25</w:t>
      </w:r>
      <w:r>
        <w:rPr>
          <w:rFonts w:hint="eastAsia" w:ascii="宋体" w:hAnsi="宋体"/>
          <w:sz w:val="24"/>
          <w:szCs w:val="24"/>
          <w:u w:val="single"/>
          <w:lang w:val="en-US" w:eastAsia="zh-CN"/>
        </w:rPr>
        <w:t>日</w:t>
      </w:r>
      <w:r>
        <w:rPr>
          <w:rFonts w:hint="eastAsia"/>
          <w:color w:val="2A2A2A"/>
          <w:sz w:val="24"/>
          <w:szCs w:val="24"/>
          <w:shd w:val="clear" w:color="auto" w:fill="FFFFFF"/>
          <w:lang w:val="en-US" w:eastAsia="zh-CN"/>
        </w:rPr>
        <w:t>下</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13:30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贰万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11</w:t>
      </w:r>
      <w:r>
        <w:rPr>
          <w:rFonts w:hint="eastAsia" w:ascii="宋体" w:hAnsi="宋体"/>
          <w:bCs/>
          <w:color w:val="7030A0"/>
          <w:sz w:val="24"/>
          <w:szCs w:val="24"/>
        </w:rPr>
        <w:t>月</w:t>
      </w:r>
      <w:r>
        <w:rPr>
          <w:rFonts w:hint="eastAsia" w:ascii="宋体" w:hAnsi="宋体"/>
          <w:sz w:val="24"/>
          <w:szCs w:val="24"/>
          <w:lang w:val="en-US" w:eastAsia="zh-CN"/>
        </w:rPr>
        <w:t>23</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ind w:left="480"/>
        <w:rPr>
          <w:rFonts w:hint="default" w:ascii="宋体" w:hAnsi="宋体"/>
          <w:color w:val="FF0000"/>
          <w:sz w:val="24"/>
          <w:szCs w:val="24"/>
          <w:lang w:val="en-US" w:eastAsia="zh-CN"/>
        </w:rPr>
      </w:pPr>
      <w:r>
        <w:rPr>
          <w:rFonts w:hint="eastAsia" w:ascii="宋体" w:hAnsi="宋体"/>
          <w:color w:val="FF0000"/>
          <w:sz w:val="24"/>
          <w:szCs w:val="24"/>
          <w:lang w:val="en-US" w:eastAsia="zh-CN"/>
        </w:rPr>
        <w:t>3.标书需要胶装。</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firstLine="482" w:firstLineChars="200"/>
        <w:rPr>
          <w:rFonts w:hint="eastAsia" w:ascii="宋体" w:hAnsi="宋体"/>
          <w:b/>
          <w:color w:val="FF0000"/>
          <w:sz w:val="24"/>
          <w:szCs w:val="24"/>
          <w:lang w:val="en-US" w:eastAsia="zh-CN"/>
        </w:rPr>
      </w:pPr>
      <w:r>
        <w:rPr>
          <w:rFonts w:hint="eastAsia" w:ascii="宋体" w:hAnsi="宋体"/>
          <w:b/>
          <w:color w:val="FF0000"/>
          <w:sz w:val="24"/>
          <w:szCs w:val="24"/>
          <w:lang w:val="en-US" w:eastAsia="zh-CN"/>
        </w:rPr>
        <w:t>满足</w:t>
      </w:r>
      <w:r>
        <w:rPr>
          <w:rFonts w:hint="eastAsia" w:ascii="宋体" w:hAnsi="宋体"/>
          <w:b/>
          <w:color w:val="FF0000"/>
          <w:sz w:val="24"/>
          <w:szCs w:val="24"/>
        </w:rPr>
        <w:t>业主单位生产使用要求</w:t>
      </w:r>
      <w:r>
        <w:rPr>
          <w:rFonts w:hint="eastAsia" w:ascii="宋体" w:hAnsi="宋体"/>
          <w:b/>
          <w:color w:val="FF0000"/>
          <w:sz w:val="24"/>
          <w:szCs w:val="24"/>
          <w:lang w:val="en-US" w:eastAsia="zh-CN"/>
        </w:rPr>
        <w:t>及附件技术要求。</w:t>
      </w:r>
    </w:p>
    <w:p>
      <w:pPr>
        <w:numPr>
          <w:ilvl w:val="0"/>
          <w:numId w:val="8"/>
        </w:numPr>
        <w:spacing w:line="360" w:lineRule="auto"/>
        <w:ind w:firstLine="482" w:firstLineChars="200"/>
        <w:rPr>
          <w:rFonts w:hint="eastAsia" w:ascii="宋体" w:hAnsi="宋体"/>
          <w:b/>
          <w:color w:val="FF0000"/>
          <w:sz w:val="24"/>
          <w:szCs w:val="24"/>
          <w:lang w:val="en-US" w:eastAsia="zh-CN"/>
        </w:rPr>
      </w:pPr>
      <w:r>
        <w:rPr>
          <w:rFonts w:hint="eastAsia" w:ascii="宋体" w:hAnsi="宋体"/>
          <w:b/>
          <w:color w:val="FF0000"/>
          <w:sz w:val="24"/>
          <w:szCs w:val="24"/>
          <w:lang w:val="en-US" w:eastAsia="zh-CN"/>
        </w:rPr>
        <w:t>业绩要求，</w:t>
      </w:r>
      <w:r>
        <w:rPr>
          <w:rFonts w:hint="eastAsia" w:ascii="宋体" w:hAnsi="宋体"/>
          <w:b/>
          <w:color w:val="FF0000"/>
          <w:sz w:val="24"/>
          <w:szCs w:val="24"/>
        </w:rPr>
        <w:t>提供两份及以上2019年至今</w:t>
      </w:r>
      <w:r>
        <w:rPr>
          <w:rFonts w:hint="eastAsia" w:ascii="宋体" w:hAnsi="宋体"/>
          <w:b/>
          <w:color w:val="FF0000"/>
          <w:sz w:val="24"/>
          <w:szCs w:val="24"/>
          <w:lang w:val="en-US" w:eastAsia="zh-CN"/>
        </w:rPr>
        <w:t>对</w:t>
      </w:r>
      <w:r>
        <w:rPr>
          <w:rFonts w:hint="eastAsia" w:ascii="宋体" w:hAnsi="宋体"/>
          <w:b/>
          <w:color w:val="FF0000"/>
          <w:sz w:val="24"/>
          <w:szCs w:val="24"/>
        </w:rPr>
        <w:t>钢企</w:t>
      </w:r>
      <w:r>
        <w:rPr>
          <w:rFonts w:hint="eastAsia" w:ascii="宋体" w:hAnsi="宋体"/>
          <w:b/>
          <w:color w:val="FF0000"/>
          <w:sz w:val="24"/>
          <w:szCs w:val="24"/>
          <w:lang w:val="en-US" w:eastAsia="zh-CN"/>
        </w:rPr>
        <w:t>相关增碳剂的</w:t>
      </w:r>
      <w:r>
        <w:rPr>
          <w:rFonts w:hint="eastAsia" w:ascii="宋体" w:hAnsi="宋体"/>
          <w:b/>
          <w:color w:val="FF0000"/>
          <w:sz w:val="24"/>
          <w:szCs w:val="24"/>
        </w:rPr>
        <w:t>供货业绩</w:t>
      </w:r>
      <w:r>
        <w:rPr>
          <w:rFonts w:hint="eastAsia" w:ascii="宋体" w:hAnsi="宋体"/>
          <w:b/>
          <w:color w:val="FF0000"/>
          <w:sz w:val="24"/>
          <w:szCs w:val="24"/>
          <w:lang w:eastAsia="zh-CN"/>
        </w:rPr>
        <w:t>（</w:t>
      </w:r>
      <w:r>
        <w:rPr>
          <w:rFonts w:hint="eastAsia" w:ascii="宋体" w:hAnsi="宋体"/>
          <w:b/>
          <w:color w:val="FF0000"/>
          <w:sz w:val="24"/>
          <w:szCs w:val="24"/>
          <w:lang w:val="en-US" w:eastAsia="zh-CN"/>
        </w:rPr>
        <w:t>附：合同+发票复印件</w:t>
      </w:r>
      <w:r>
        <w:rPr>
          <w:rFonts w:hint="eastAsia" w:ascii="宋体" w:hAnsi="宋体"/>
          <w:b/>
          <w:color w:val="FF0000"/>
          <w:sz w:val="24"/>
          <w:szCs w:val="24"/>
          <w:lang w:eastAsia="zh-CN"/>
        </w:rPr>
        <w:t>）</w:t>
      </w:r>
      <w:r>
        <w:rPr>
          <w:rFonts w:hint="eastAsia" w:ascii="宋体" w:hAnsi="宋体"/>
          <w:b/>
          <w:color w:val="FF0000"/>
          <w:sz w:val="24"/>
          <w:szCs w:val="24"/>
          <w:lang w:val="en-US" w:eastAsia="zh-CN"/>
        </w:rPr>
        <w:t>。</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本次招标招一个月的供货量，约400吨（该数量为理论需求数量，具体供货数量以生产单位实际用量为准，具体供货时间以商务部门通知为准）按照单吨价报价，并注明相应的供应数量。</w:t>
      </w:r>
    </w:p>
    <w:p>
      <w:pPr>
        <w:pStyle w:val="2"/>
        <w:rPr>
          <w:rFonts w:hint="default" w:ascii="宋体" w:hAnsi="宋体" w:eastAsia="宋体" w:cs="Times New Roman"/>
          <w:b/>
          <w:color w:val="FF0000"/>
          <w:kern w:val="2"/>
          <w:sz w:val="24"/>
          <w:szCs w:val="24"/>
          <w:lang w:val="en-US" w:eastAsia="zh-CN" w:bidi="ar-SA"/>
        </w:rPr>
      </w:pPr>
      <w:r>
        <w:rPr>
          <w:rFonts w:hint="eastAsia" w:ascii="宋体" w:hAnsi="宋体" w:eastAsia="宋体" w:cs="Times New Roman"/>
          <w:b/>
          <w:color w:val="FF0000"/>
          <w:kern w:val="2"/>
          <w:sz w:val="24"/>
          <w:szCs w:val="24"/>
          <w:lang w:val="en-US" w:eastAsia="zh-CN" w:bidi="ar-SA"/>
        </w:rPr>
        <w:t xml:space="preserve">  </w:t>
      </w:r>
      <w:r>
        <w:rPr>
          <w:rFonts w:hint="eastAsia" w:ascii="宋体" w:hAnsi="宋体" w:cs="Times New Roman"/>
          <w:b/>
          <w:color w:val="FF0000"/>
          <w:kern w:val="2"/>
          <w:sz w:val="24"/>
          <w:szCs w:val="24"/>
          <w:lang w:val="en-US" w:eastAsia="zh-CN" w:bidi="ar-SA"/>
        </w:rPr>
        <w:t xml:space="preserve"> </w:t>
      </w:r>
      <w:r>
        <w:rPr>
          <w:rFonts w:hint="eastAsia" w:ascii="宋体" w:hAnsi="宋体" w:eastAsia="宋体" w:cs="Times New Roman"/>
          <w:b/>
          <w:color w:val="FF0000"/>
          <w:kern w:val="2"/>
          <w:sz w:val="24"/>
          <w:szCs w:val="24"/>
          <w:lang w:val="en-US" w:eastAsia="zh-CN" w:bidi="ar-SA"/>
        </w:rPr>
        <w:t xml:space="preserve"> 4、招标合同执行周期为</w:t>
      </w:r>
      <w:r>
        <w:rPr>
          <w:rFonts w:hint="eastAsia" w:ascii="宋体" w:hAnsi="宋体" w:cs="Times New Roman"/>
          <w:b/>
          <w:color w:val="FF0000"/>
          <w:kern w:val="2"/>
          <w:sz w:val="24"/>
          <w:szCs w:val="24"/>
          <w:lang w:val="en-US" w:eastAsia="zh-CN" w:bidi="ar-SA"/>
        </w:rPr>
        <w:t>1</w:t>
      </w:r>
      <w:r>
        <w:rPr>
          <w:rFonts w:hint="eastAsia" w:ascii="宋体" w:hAnsi="宋体" w:eastAsia="宋体" w:cs="Times New Roman"/>
          <w:b/>
          <w:color w:val="FF0000"/>
          <w:kern w:val="2"/>
          <w:sz w:val="24"/>
          <w:szCs w:val="24"/>
          <w:lang w:val="en-US" w:eastAsia="zh-CN" w:bidi="ar-SA"/>
        </w:rPr>
        <w:t>个月。</w:t>
      </w:r>
    </w:p>
    <w:p>
      <w:pPr>
        <w:numPr>
          <w:ilvl w:val="0"/>
          <w:numId w:val="0"/>
        </w:numPr>
        <w:spacing w:line="360" w:lineRule="auto"/>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pStyle w:val="2"/>
      </w:pPr>
    </w:p>
    <w:p>
      <w:pPr>
        <w:jc w:val="both"/>
        <w:rPr>
          <w:b/>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widowControl w:val="0"/>
        <w:spacing w:line="240" w:lineRule="atLeast"/>
        <w:jc w:val="both"/>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11</w:t>
      </w:r>
      <w:r>
        <w:rPr>
          <w:rFonts w:ascii="宋体" w:hAnsi="宋体"/>
          <w:sz w:val="24"/>
          <w:szCs w:val="24"/>
        </w:rPr>
        <w:t>月</w:t>
      </w:r>
      <w:r>
        <w:rPr>
          <w:rFonts w:hint="eastAsia" w:ascii="宋体" w:hAnsi="宋体"/>
          <w:sz w:val="24"/>
          <w:szCs w:val="24"/>
          <w:lang w:val="en-US" w:eastAsia="zh-CN"/>
        </w:rPr>
        <w:t>16</w:t>
      </w:r>
      <w:r>
        <w:rPr>
          <w:rFonts w:hint="eastAsia" w:ascii="宋体" w:hAnsi="宋体"/>
          <w:sz w:val="24"/>
          <w:szCs w:val="24"/>
        </w:rPr>
        <w:t>日</w:t>
      </w:r>
    </w:p>
    <w:p>
      <w:pPr>
        <w:widowControl w:val="0"/>
        <w:spacing w:line="240" w:lineRule="atLeast"/>
        <w:jc w:val="both"/>
        <w:rPr>
          <w:rFonts w:hint="eastAsia" w:ascii="宋体" w:hAnsi="宋体"/>
          <w:sz w:val="24"/>
          <w:szCs w:val="24"/>
        </w:rPr>
      </w:pPr>
    </w:p>
    <w:p>
      <w:pPr>
        <w:jc w:val="both"/>
        <w:rPr>
          <w:rFonts w:hint="eastAsia"/>
          <w:b w:val="0"/>
          <w:bCs/>
          <w:color w:val="auto"/>
          <w:sz w:val="28"/>
          <w:szCs w:val="28"/>
          <w:u w:val="none" w:color="auto"/>
          <w:lang w:val="en-US" w:eastAsia="zh-CN"/>
        </w:rPr>
      </w:pPr>
    </w:p>
    <w:p>
      <w:pPr>
        <w:jc w:val="center"/>
        <w:rPr>
          <w:rFonts w:hint="eastAsia"/>
          <w:b/>
          <w:sz w:val="36"/>
          <w:szCs w:val="36"/>
        </w:rPr>
      </w:pPr>
      <w:r>
        <w:rPr>
          <w:rFonts w:hint="eastAsia"/>
          <w:b/>
          <w:sz w:val="36"/>
          <w:szCs w:val="36"/>
        </w:rPr>
        <w:t>石油焦增碳剂质量标准技术统一平台</w:t>
      </w:r>
    </w:p>
    <w:p>
      <w:pPr>
        <w:widowControl w:val="0"/>
        <w:spacing w:line="360" w:lineRule="auto"/>
        <w:ind w:firstLine="422" w:firstLineChars="200"/>
        <w:jc w:val="both"/>
        <w:rPr>
          <w:rFonts w:hint="eastAsia" w:ascii="宋体" w:hAnsi="宋体"/>
          <w:color w:val="000000"/>
        </w:rPr>
      </w:pPr>
      <w:r>
        <w:rPr>
          <w:rFonts w:hint="eastAsia"/>
          <w:b/>
        </w:rPr>
        <w:t>1、技术要求</w:t>
      </w:r>
    </w:p>
    <w:p>
      <w:pPr>
        <w:widowControl w:val="0"/>
        <w:spacing w:line="360" w:lineRule="auto"/>
        <w:ind w:firstLine="420" w:firstLineChars="200"/>
        <w:jc w:val="both"/>
        <w:rPr>
          <w:rFonts w:hint="eastAsia" w:ascii="宋体" w:hAnsi="宋体"/>
          <w:color w:val="000000"/>
        </w:rPr>
      </w:pPr>
      <w:r>
        <w:rPr>
          <w:rFonts w:hint="eastAsia" w:ascii="宋体" w:hAnsi="宋体"/>
          <w:color w:val="000000"/>
        </w:rPr>
        <w:t>1、质量标准：FC≥98%；St.d≤0.5%；水分≤0.5%；粒度：0.5-7mm；小于0.5mm的比例≤10%，大于7mm的比例≤5%。让步接收标准：FC≥96%；St.d≤0.6%；H 2 O%≤0.7%；粒度：小于 0.5mm的比例≤15%；大于 7mm 的比例≤10%。2、质量考核①1、FC：97%≤C＜98%每下降 0.1%，合同价格降 0.5%;96%≤C＜97%间，每下降 0.1%，合同价格降 1%；超出让步范围原则上退货。②、St.d 超出标准在让步接收范围内，每上升 0.01%,合同价格降 0.05%；超出让步范围原则上退货。③、0.5%＜H 2 O≤0.7%，每增加 0.1%，合同价格降 2%，H2O＞0.7%，作退货处理，如无法退货按超出让步范围在原处罚基础上双倍扣罚。④、粒度超出标准在让步接收范围内，超出部分扣吨位结算；超出让步范围原则上退货或在原处罚基础上双倍扣罚。</w:t>
      </w:r>
    </w:p>
    <w:p>
      <w:pPr>
        <w:widowControl w:val="0"/>
        <w:spacing w:line="360" w:lineRule="auto"/>
        <w:ind w:firstLine="422" w:firstLineChars="200"/>
        <w:jc w:val="both"/>
        <w:rPr>
          <w:rFonts w:hint="eastAsia"/>
          <w:b/>
        </w:rPr>
      </w:pPr>
      <w:r>
        <w:rPr>
          <w:rFonts w:hint="eastAsia"/>
          <w:b/>
        </w:rPr>
        <w:t>2、包装要求：</w:t>
      </w:r>
    </w:p>
    <w:p>
      <w:pPr>
        <w:widowControl w:val="0"/>
        <w:spacing w:line="360" w:lineRule="auto"/>
        <w:ind w:firstLine="420" w:firstLineChars="200"/>
        <w:jc w:val="both"/>
        <w:rPr>
          <w:rFonts w:hint="eastAsia" w:ascii="宋体" w:hAnsi="宋体"/>
          <w:color w:val="000000"/>
        </w:rPr>
      </w:pPr>
      <w:r>
        <w:rPr>
          <w:rFonts w:hint="eastAsia" w:ascii="宋体" w:hAnsi="宋体"/>
          <w:color w:val="000000"/>
        </w:rPr>
        <w:t>吨袋包装：内小袋重量15±0.2KG。四层包装，做好防潮措施，吨袋包装外层和小袋包装外层为编织袋，吨袋包装内层和小袋包装内层为塑料袋。塑料袋具有一定强度，保证质量，不易刺破，起到防潮效果。吨袋包装袋上必须注明物资名称、生产厂家、包装重量等信息，小包装袋上必须注明物资名称、重量等信息。如包装重量发生变化，提前通知供货厂家并进行调整。大袋包装重量为1000公斤包装。包装袋供方不回收。包装吨袋质量必须保证，如果因为吨袋质量问题导致在卸货过程中出现漏料、撒料的情况，全部责任由供方承担。</w:t>
      </w:r>
    </w:p>
    <w:p>
      <w:pPr>
        <w:widowControl w:val="0"/>
        <w:spacing w:line="360" w:lineRule="auto"/>
        <w:ind w:firstLine="422" w:firstLineChars="200"/>
        <w:jc w:val="both"/>
        <w:rPr>
          <w:rFonts w:hint="eastAsia"/>
          <w:b/>
        </w:rPr>
      </w:pPr>
      <w:r>
        <w:rPr>
          <w:rFonts w:hint="eastAsia"/>
          <w:b/>
        </w:rPr>
        <w:t>3、招标数量（</w:t>
      </w:r>
      <w:r>
        <w:rPr>
          <w:rFonts w:hint="eastAsia"/>
          <w:b/>
          <w:lang w:val="en-US" w:eastAsia="zh-CN"/>
        </w:rPr>
        <w:t>1</w:t>
      </w:r>
      <w:r>
        <w:rPr>
          <w:rFonts w:hint="eastAsia"/>
          <w:b/>
        </w:rPr>
        <w:t>个月用量）：</w:t>
      </w:r>
      <w:r>
        <w:rPr>
          <w:rFonts w:hint="eastAsia"/>
          <w:b/>
          <w:lang w:val="en-US" w:eastAsia="zh-CN"/>
        </w:rPr>
        <w:t>400</w:t>
      </w:r>
      <w:r>
        <w:rPr>
          <w:rFonts w:hint="eastAsia"/>
          <w:b/>
        </w:rPr>
        <w:t>吨</w:t>
      </w:r>
    </w:p>
    <w:p>
      <w:pPr>
        <w:widowControl w:val="0"/>
        <w:spacing w:line="360" w:lineRule="auto"/>
        <w:jc w:val="both"/>
        <w:rPr>
          <w:rFonts w:hint="eastAsia" w:asciiTheme="minorEastAsia" w:hAnsiTheme="minorEastAsia" w:eastAsiaTheme="minorEastAsia"/>
          <w:color w:val="000000"/>
          <w:sz w:val="28"/>
          <w:szCs w:val="28"/>
        </w:rPr>
      </w:pPr>
    </w:p>
    <w:p>
      <w:pPr>
        <w:pStyle w:val="2"/>
        <w:rPr>
          <w:rFonts w:hint="eastAsia" w:asciiTheme="minorEastAsia" w:hAnsiTheme="minorEastAsia" w:eastAsiaTheme="minorEastAsia"/>
          <w:color w:val="000000"/>
          <w:sz w:val="28"/>
          <w:szCs w:val="28"/>
        </w:rPr>
      </w:pPr>
    </w:p>
    <w:p>
      <w:pPr>
        <w:rPr>
          <w:rFonts w:hint="eastAsia" w:asciiTheme="minorEastAsia" w:hAnsiTheme="minorEastAsia" w:eastAsiaTheme="minorEastAsia"/>
          <w:color w:val="000000"/>
          <w:sz w:val="28"/>
          <w:szCs w:val="28"/>
        </w:rPr>
      </w:pPr>
    </w:p>
    <w:p>
      <w:pPr>
        <w:pStyle w:val="2"/>
        <w:rPr>
          <w:rFonts w:hint="eastAsia" w:asciiTheme="minorEastAsia" w:hAnsiTheme="minorEastAsia" w:eastAsiaTheme="minorEastAsia"/>
          <w:color w:val="000000"/>
          <w:sz w:val="28"/>
          <w:szCs w:val="28"/>
        </w:rPr>
      </w:pPr>
    </w:p>
    <w:p>
      <w:pPr>
        <w:rPr>
          <w:rFonts w:hint="eastAsia" w:asciiTheme="minorEastAsia" w:hAnsiTheme="minorEastAsia" w:eastAsiaTheme="minorEastAsia"/>
          <w:color w:val="000000"/>
          <w:sz w:val="28"/>
          <w:szCs w:val="28"/>
        </w:rPr>
      </w:pPr>
    </w:p>
    <w:p>
      <w:pPr>
        <w:pStyle w:val="2"/>
        <w:rPr>
          <w:rFonts w:hint="eastAsia" w:asciiTheme="minorEastAsia" w:hAnsiTheme="minorEastAsia" w:eastAsiaTheme="minorEastAsia"/>
          <w:color w:val="000000"/>
          <w:sz w:val="28"/>
          <w:szCs w:val="28"/>
        </w:rPr>
      </w:pPr>
    </w:p>
    <w:p>
      <w:pPr>
        <w:rPr>
          <w:rFonts w:hint="eastAsia" w:asciiTheme="minorEastAsia" w:hAnsiTheme="minorEastAsia" w:eastAsiaTheme="minorEastAsia"/>
          <w:color w:val="000000"/>
          <w:sz w:val="28"/>
          <w:szCs w:val="28"/>
        </w:rPr>
      </w:pPr>
    </w:p>
    <w:p>
      <w:pPr>
        <w:pStyle w:val="2"/>
        <w:rPr>
          <w:rFonts w:hint="eastAsia" w:asciiTheme="minorEastAsia" w:hAnsiTheme="minorEastAsia" w:eastAsiaTheme="minorEastAsia"/>
          <w:color w:val="000000"/>
          <w:sz w:val="28"/>
          <w:szCs w:val="28"/>
        </w:rPr>
      </w:pPr>
    </w:p>
    <w:p>
      <w:pPr>
        <w:rPr>
          <w:rFonts w:hint="eastAsia" w:asciiTheme="minorEastAsia" w:hAnsiTheme="minorEastAsia" w:eastAsiaTheme="minorEastAsia"/>
          <w:color w:val="000000"/>
          <w:sz w:val="28"/>
          <w:szCs w:val="28"/>
        </w:rPr>
      </w:pPr>
    </w:p>
    <w:p>
      <w:pPr>
        <w:pStyle w:val="2"/>
        <w:rPr>
          <w:rFonts w:hint="eastAsia" w:asciiTheme="minorEastAsia" w:hAnsiTheme="minorEastAsia" w:eastAsiaTheme="minorEastAsia"/>
          <w:color w:val="000000"/>
          <w:sz w:val="28"/>
          <w:szCs w:val="28"/>
        </w:rPr>
      </w:pPr>
    </w:p>
    <w:p>
      <w:pPr>
        <w:rPr>
          <w:rFonts w:hint="eastAsia" w:asciiTheme="minorEastAsia" w:hAnsiTheme="minorEastAsia" w:eastAsiaTheme="minorEastAsia"/>
          <w:color w:val="000000"/>
          <w:sz w:val="28"/>
          <w:szCs w:val="28"/>
        </w:rPr>
      </w:pPr>
    </w:p>
    <w:p>
      <w:pPr>
        <w:pStyle w:val="2"/>
        <w:rPr>
          <w:rFonts w:hint="eastAsia" w:asciiTheme="minorEastAsia" w:hAnsiTheme="minorEastAsia" w:eastAsiaTheme="minorEastAsia"/>
          <w:color w:val="000000"/>
          <w:sz w:val="28"/>
          <w:szCs w:val="28"/>
        </w:rPr>
      </w:pPr>
    </w:p>
    <w:p>
      <w:pPr>
        <w:rPr>
          <w:rFonts w:hint="eastAsia"/>
        </w:rPr>
      </w:pPr>
    </w:p>
    <w:p>
      <w:pPr>
        <w:widowControl w:val="0"/>
        <w:spacing w:line="360" w:lineRule="auto"/>
        <w:jc w:val="both"/>
        <w:rPr>
          <w:rFonts w:hint="eastAsia" w:asciiTheme="minorEastAsia" w:hAnsiTheme="minorEastAsia" w:eastAsiaTheme="minorEastAsia"/>
          <w:color w:val="000000"/>
          <w:sz w:val="28"/>
          <w:szCs w:val="28"/>
        </w:rPr>
      </w:pPr>
    </w:p>
    <w:p>
      <w:pPr>
        <w:widowControl w:val="0"/>
        <w:spacing w:line="360" w:lineRule="auto"/>
        <w:jc w:val="both"/>
        <w:rPr>
          <w:rFonts w:hint="eastAsia" w:asciiTheme="minorEastAsia" w:hAnsiTheme="minorEastAsia" w:eastAsiaTheme="minorEastAsia"/>
          <w:color w:val="000000"/>
          <w:sz w:val="28"/>
          <w:szCs w:val="28"/>
        </w:rPr>
      </w:pPr>
    </w:p>
    <w:p>
      <w:pPr>
        <w:widowControl w:val="0"/>
        <w:spacing w:line="360" w:lineRule="auto"/>
        <w:jc w:val="both"/>
        <w:rPr>
          <w:rFonts w:hint="eastAsia" w:asciiTheme="minorEastAsia" w:hAnsiTheme="minorEastAsia" w:eastAsiaTheme="minorEastAsia"/>
          <w:color w:val="000000"/>
          <w:sz w:val="28"/>
          <w:szCs w:val="28"/>
        </w:rPr>
      </w:pPr>
      <w:r>
        <w:rPr>
          <w:b/>
        </w:rPr>
        <mc:AlternateContent>
          <mc:Choice Requires="wps">
            <w:drawing>
              <wp:anchor distT="0" distB="0" distL="114300" distR="114300" simplePos="0" relativeHeight="251660288" behindDoc="0" locked="0" layoutInCell="1" allowOverlap="1">
                <wp:simplePos x="0" y="0"/>
                <wp:positionH relativeFrom="column">
                  <wp:posOffset>5678805</wp:posOffset>
                </wp:positionH>
                <wp:positionV relativeFrom="paragraph">
                  <wp:posOffset>195580</wp:posOffset>
                </wp:positionV>
                <wp:extent cx="1028700" cy="891540"/>
                <wp:effectExtent l="158115" t="205105" r="165735" b="217805"/>
                <wp:wrapNone/>
                <wp:docPr id="3" name="文本框 2"/>
                <wp:cNvGraphicFramePr/>
                <a:graphic xmlns:a="http://schemas.openxmlformats.org/drawingml/2006/main">
                  <a:graphicData uri="http://schemas.microsoft.com/office/word/2010/wordprocessingShape">
                    <wps:wsp>
                      <wps:cNvSpPr txBox="1"/>
                      <wps:spPr>
                        <a:xfrm rot="1920000">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447.15pt;margin-top:15.4pt;height:70.2pt;width:81pt;rotation:2097152f;z-index:251660288;mso-width-relative:page;mso-height-relative:page;" fillcolor="#FFFFFF" filled="t" stroked="f" coordsize="21600,21600" o:gfxdata="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iDlVG3AAAAAsBAAAPAAAAAAAAAAEAIAAAACIA&#10;AABkcnMvZG93bnJldi54bWxQSwECFAAUAAAACACHTuJAH40aw8wBAACFAwAADgAAAAAAAAABACAA&#10;AAArAQAAZHJzL2Uyb0RvYy54bWxQSwUGAAAAAAYABgBZAQAAaQUAAAAA&#10;">
                <v:fill on="t" focussize="0,0"/>
                <v:stroke on="f"/>
                <v:imagedata o:title=""/>
                <o:lock v:ext="edit" aspectratio="f"/>
                <v:textbox>
                  <w:txbxContent>
                    <w:p/>
                  </w:txbxContent>
                </v:textbox>
              </v:shape>
            </w:pict>
          </mc:Fallback>
        </mc:AlternateContent>
      </w:r>
    </w:p>
    <w:p>
      <w:pPr>
        <w:tabs>
          <w:tab w:val="left" w:pos="420"/>
          <w:tab w:val="left" w:pos="630"/>
        </w:tabs>
        <w:spacing w:line="300" w:lineRule="auto"/>
        <w:ind w:firstLine="140" w:firstLineChars="50"/>
        <w:jc w:val="both"/>
        <w:rPr>
          <w:rFonts w:hint="eastAsia" w:ascii="仿宋_GB2312" w:eastAsia="仿宋_GB2312"/>
          <w:b/>
          <w:sz w:val="28"/>
          <w:szCs w:val="28"/>
        </w:rPr>
      </w:pPr>
      <w:r>
        <w:rPr>
          <w:sz w:val="28"/>
          <w:szCs w:val="28"/>
        </w:rPr>
        <w:pict>
          <v:shape id="对象 5" o:spid="_x0000_s1027" o:spt="75" type="#_x0000_t75" style="position:absolute;left:0pt;margin-left:20.05pt;margin-top:-15pt;height:50.25pt;width:55pt;mso-wrap-distance-left:9pt;mso-wrap-distance-right:9pt;z-index:-251656192;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420"/>
          <w:tab w:val="left" w:pos="630"/>
        </w:tabs>
        <w:spacing w:line="300" w:lineRule="auto"/>
        <w:ind w:firstLine="141" w:firstLineChars="50"/>
        <w:jc w:val="both"/>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widowControl/>
        <w:shd w:val="clear" w:color="auto" w:fill="FFFFFF"/>
        <w:spacing w:line="360" w:lineRule="auto"/>
        <w:jc w:val="left"/>
        <w:rPr>
          <w:rFonts w:hint="eastAsia" w:ascii="仿宋_GB2312" w:eastAsia="仿宋_GB2312"/>
          <w:sz w:val="28"/>
          <w:szCs w:val="28"/>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石油焦增碳剂</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9264;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ZQvvNUAAAAJAQAADwAAAAAAAAABACAAAAAiAAAAZHJz&#10;L2Rvd25yZXYueG1sUEsBAhQAFAAAAAgAh07iQKxLf5t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9264;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NtwANUAAAAIAQAADwAAAAAAAAABACAAAAAiAAAAZHJz&#10;L2Rvd25yZXYueG1sUEsBAhQAFAAAAAgAh07iQPepqOd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jc w:val="left"/>
        <w:rPr>
          <w:rFonts w:hint="eastAsia" w:ascii="宋体" w:hAnsi="宋体" w:cs="宋体"/>
          <w:b/>
          <w:bCs/>
          <w:color w:val="FF0000"/>
          <w:kern w:val="0"/>
          <w:sz w:val="24"/>
          <w:szCs w:val="24"/>
        </w:rPr>
      </w:pPr>
    </w:p>
    <w:p>
      <w:pPr>
        <w:pStyle w:val="2"/>
        <w:rPr>
          <w:rFonts w:hint="eastAsia" w:ascii="宋体" w:hAnsi="宋体" w:cs="宋体"/>
          <w:b/>
          <w:bCs/>
          <w:color w:val="FF0000"/>
          <w:kern w:val="0"/>
          <w:sz w:val="24"/>
          <w:szCs w:val="24"/>
        </w:rPr>
      </w:pPr>
    </w:p>
    <w:p>
      <w:pPr>
        <w:rPr>
          <w:rFonts w:hint="eastAsia" w:ascii="宋体" w:hAnsi="宋体" w:cs="宋体"/>
          <w:b/>
          <w:bCs/>
          <w:color w:val="FF0000"/>
          <w:kern w:val="0"/>
          <w:sz w:val="24"/>
          <w:szCs w:val="24"/>
        </w:rPr>
      </w:pPr>
    </w:p>
    <w:p>
      <w:pPr>
        <w:pStyle w:val="2"/>
        <w:rPr>
          <w:rFonts w:hint="eastAsia"/>
        </w:rPr>
      </w:pPr>
    </w:p>
    <w:p>
      <w:pPr>
        <w:jc w:val="left"/>
        <w:rPr>
          <w:rFonts w:hint="default" w:ascii="宋体" w:hAnsi="宋体" w:cs="宋体"/>
          <w:b/>
          <w:bCs/>
          <w:color w:val="FF0000"/>
          <w:kern w:val="0"/>
          <w:sz w:val="24"/>
          <w:szCs w:val="24"/>
          <w:lang w:val="en-US"/>
        </w:rPr>
      </w:pPr>
      <w:r>
        <w:rPr>
          <w:rFonts w:hint="eastAsia" w:ascii="宋体" w:hAnsi="宋体" w:eastAsia="宋体" w:cs="Times New Roman"/>
          <w:b w:val="0"/>
          <w:bCs/>
          <w:kern w:val="0"/>
          <w:sz w:val="28"/>
          <w:szCs w:val="28"/>
          <w:lang w:val="en-US" w:eastAsia="zh-CN" w:bidi="ar-SA"/>
        </w:rPr>
        <w:t>附件5</w:t>
      </w:r>
      <w:r>
        <w:rPr>
          <w:rFonts w:hint="eastAsia" w:ascii="宋体" w:hAnsi="宋体" w:cs="宋体"/>
          <w:b/>
          <w:bCs/>
          <w:color w:val="FF0000"/>
          <w:kern w:val="0"/>
          <w:sz w:val="24"/>
          <w:szCs w:val="24"/>
          <w:lang w:val="en-US" w:eastAsia="zh-CN"/>
        </w:rPr>
        <w:t xml:space="preserve">  报价表</w:t>
      </w:r>
    </w:p>
    <w:p>
      <w:pPr>
        <w:jc w:val="center"/>
        <w:rPr>
          <w:rFonts w:ascii="宋体" w:hAnsi="宋体"/>
          <w:sz w:val="44"/>
          <w:szCs w:val="44"/>
        </w:rPr>
      </w:pPr>
      <w:r>
        <w:rPr>
          <w:rFonts w:hint="eastAsia" w:ascii="宋体" w:hAnsi="宋体"/>
          <w:sz w:val="44"/>
          <w:szCs w:val="44"/>
        </w:rPr>
        <w:t>报价统一格式</w:t>
      </w:r>
    </w:p>
    <w:tbl>
      <w:tblPr>
        <w:tblStyle w:val="10"/>
        <w:tblW w:w="540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408"/>
        <w:gridCol w:w="1237"/>
        <w:gridCol w:w="4225"/>
        <w:gridCol w:w="1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82" w:type="pct"/>
            <w:vAlign w:val="center"/>
          </w:tcPr>
          <w:p>
            <w:pPr>
              <w:jc w:val="center"/>
              <w:rPr>
                <w:sz w:val="18"/>
                <w:szCs w:val="18"/>
              </w:rPr>
            </w:pPr>
            <w:r>
              <w:rPr>
                <w:rFonts w:hint="eastAsia"/>
                <w:sz w:val="18"/>
                <w:szCs w:val="18"/>
              </w:rPr>
              <w:t>序号</w:t>
            </w:r>
          </w:p>
        </w:tc>
        <w:tc>
          <w:tcPr>
            <w:tcW w:w="764" w:type="pct"/>
            <w:vAlign w:val="center"/>
          </w:tcPr>
          <w:p>
            <w:pPr>
              <w:jc w:val="center"/>
              <w:rPr>
                <w:sz w:val="18"/>
                <w:szCs w:val="18"/>
              </w:rPr>
            </w:pPr>
            <w:r>
              <w:rPr>
                <w:rFonts w:hint="eastAsia"/>
                <w:sz w:val="18"/>
                <w:szCs w:val="18"/>
              </w:rPr>
              <w:t>物资名称</w:t>
            </w:r>
          </w:p>
        </w:tc>
        <w:tc>
          <w:tcPr>
            <w:tcW w:w="671" w:type="pct"/>
            <w:vAlign w:val="center"/>
          </w:tcPr>
          <w:p>
            <w:pPr>
              <w:jc w:val="center"/>
              <w:rPr>
                <w:sz w:val="18"/>
                <w:szCs w:val="18"/>
              </w:rPr>
            </w:pPr>
            <w:r>
              <w:rPr>
                <w:rFonts w:hint="eastAsia"/>
                <w:sz w:val="18"/>
                <w:szCs w:val="18"/>
              </w:rPr>
              <w:t>理论要求数量</w:t>
            </w:r>
          </w:p>
        </w:tc>
        <w:tc>
          <w:tcPr>
            <w:tcW w:w="2292" w:type="pct"/>
            <w:vAlign w:val="center"/>
          </w:tcPr>
          <w:p>
            <w:pPr>
              <w:jc w:val="center"/>
              <w:rPr>
                <w:sz w:val="18"/>
                <w:szCs w:val="18"/>
              </w:rPr>
            </w:pPr>
            <w:r>
              <w:rPr>
                <w:rFonts w:hint="eastAsia"/>
                <w:sz w:val="18"/>
                <w:szCs w:val="18"/>
              </w:rPr>
              <w:t>含税、含运费报价（元/吨）</w:t>
            </w:r>
          </w:p>
        </w:tc>
        <w:tc>
          <w:tcPr>
            <w:tcW w:w="889" w:type="pct"/>
            <w:vAlign w:val="center"/>
          </w:tcPr>
          <w:p>
            <w:pPr>
              <w:jc w:val="center"/>
              <w:rPr>
                <w:sz w:val="18"/>
                <w:szCs w:val="18"/>
              </w:rPr>
            </w:pPr>
            <w:r>
              <w:rPr>
                <w:rFonts w:hint="eastAsia"/>
                <w:sz w:val="18"/>
                <w:szCs w:val="18"/>
              </w:rPr>
              <w:t>供应量（吨）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82" w:type="pct"/>
            <w:vMerge w:val="restart"/>
            <w:vAlign w:val="center"/>
          </w:tcPr>
          <w:p>
            <w:pPr>
              <w:jc w:val="center"/>
              <w:rPr>
                <w:sz w:val="24"/>
                <w:szCs w:val="24"/>
              </w:rPr>
            </w:pPr>
            <w:r>
              <w:rPr>
                <w:rFonts w:hint="eastAsia"/>
                <w:sz w:val="24"/>
                <w:szCs w:val="24"/>
              </w:rPr>
              <w:t>1</w:t>
            </w:r>
          </w:p>
        </w:tc>
        <w:tc>
          <w:tcPr>
            <w:tcW w:w="764" w:type="pct"/>
            <w:vMerge w:val="restart"/>
            <w:vAlign w:val="center"/>
          </w:tcPr>
          <w:p>
            <w:pPr>
              <w:jc w:val="center"/>
              <w:rPr>
                <w:rFonts w:hint="default" w:ascii="宋体" w:hAnsi="宋体" w:eastAsia="宋体"/>
                <w:b/>
                <w:color w:val="000000"/>
                <w:sz w:val="24"/>
                <w:szCs w:val="24"/>
                <w:u w:val="none"/>
                <w:lang w:val="en-US" w:eastAsia="zh-CN"/>
              </w:rPr>
            </w:pPr>
            <w:r>
              <w:rPr>
                <w:rFonts w:hint="eastAsia" w:ascii="宋体" w:hAnsi="宋体"/>
                <w:b/>
                <w:color w:val="FF0000"/>
                <w:sz w:val="28"/>
                <w:szCs w:val="28"/>
                <w:u w:val="none"/>
                <w:lang w:val="en-US" w:eastAsia="zh-CN"/>
              </w:rPr>
              <w:t>石油焦增碳剂</w:t>
            </w:r>
          </w:p>
        </w:tc>
        <w:tc>
          <w:tcPr>
            <w:tcW w:w="671" w:type="pct"/>
            <w:vMerge w:val="restart"/>
            <w:vAlign w:val="center"/>
          </w:tcPr>
          <w:p>
            <w:pPr>
              <w:jc w:val="center"/>
              <w:rPr>
                <w:rFonts w:hint="default" w:eastAsia="宋体"/>
                <w:sz w:val="24"/>
                <w:szCs w:val="24"/>
                <w:lang w:val="en-US" w:eastAsia="zh-CN"/>
              </w:rPr>
            </w:pPr>
            <w:r>
              <w:rPr>
                <w:rFonts w:hint="eastAsia" w:ascii="宋体" w:hAnsi="宋体"/>
                <w:b/>
                <w:color w:val="FF0000"/>
                <w:sz w:val="28"/>
                <w:szCs w:val="28"/>
                <w:lang w:val="en-US" w:eastAsia="zh-CN"/>
              </w:rPr>
              <w:t>400吨</w:t>
            </w:r>
          </w:p>
        </w:tc>
        <w:tc>
          <w:tcPr>
            <w:tcW w:w="2292" w:type="pct"/>
          </w:tcPr>
          <w:p>
            <w:pPr>
              <w:jc w:val="left"/>
              <w:rPr>
                <w:sz w:val="24"/>
                <w:szCs w:val="24"/>
              </w:rPr>
            </w:pPr>
          </w:p>
          <w:p>
            <w:pPr>
              <w:jc w:val="left"/>
              <w:rPr>
                <w:sz w:val="24"/>
                <w:szCs w:val="24"/>
              </w:rPr>
            </w:pPr>
            <w:r>
              <w:rPr>
                <w:rFonts w:hint="eastAsia"/>
                <w:sz w:val="24"/>
                <w:szCs w:val="24"/>
              </w:rPr>
              <w:t xml:space="preserve">小写：                      </w:t>
            </w:r>
            <w:r>
              <w:rPr>
                <w:rFonts w:hint="eastAsia"/>
                <w:sz w:val="18"/>
                <w:szCs w:val="18"/>
              </w:rPr>
              <w:t>元/吨</w:t>
            </w:r>
          </w:p>
        </w:tc>
        <w:tc>
          <w:tcPr>
            <w:tcW w:w="889" w:type="pct"/>
            <w:vMerge w:val="restart"/>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382" w:type="pct"/>
            <w:vMerge w:val="continue"/>
            <w:vAlign w:val="center"/>
          </w:tcPr>
          <w:p>
            <w:pPr>
              <w:jc w:val="center"/>
              <w:rPr>
                <w:sz w:val="24"/>
                <w:szCs w:val="24"/>
              </w:rPr>
            </w:pPr>
          </w:p>
        </w:tc>
        <w:tc>
          <w:tcPr>
            <w:tcW w:w="764" w:type="pct"/>
            <w:vMerge w:val="continue"/>
            <w:vAlign w:val="center"/>
          </w:tcPr>
          <w:p>
            <w:pPr>
              <w:jc w:val="center"/>
              <w:rPr>
                <w:rFonts w:ascii="宋体" w:hAnsi="宋体"/>
                <w:b/>
                <w:color w:val="000000"/>
                <w:sz w:val="24"/>
                <w:szCs w:val="24"/>
              </w:rPr>
            </w:pPr>
          </w:p>
        </w:tc>
        <w:tc>
          <w:tcPr>
            <w:tcW w:w="671" w:type="pct"/>
            <w:vMerge w:val="continue"/>
            <w:vAlign w:val="center"/>
          </w:tcPr>
          <w:p>
            <w:pPr>
              <w:jc w:val="center"/>
              <w:rPr>
                <w:sz w:val="24"/>
                <w:szCs w:val="24"/>
              </w:rPr>
            </w:pPr>
          </w:p>
        </w:tc>
        <w:tc>
          <w:tcPr>
            <w:tcW w:w="2292" w:type="pct"/>
          </w:tcPr>
          <w:p>
            <w:pPr>
              <w:jc w:val="left"/>
              <w:rPr>
                <w:sz w:val="24"/>
                <w:szCs w:val="24"/>
              </w:rPr>
            </w:pPr>
          </w:p>
          <w:p>
            <w:pPr>
              <w:jc w:val="left"/>
              <w:rPr>
                <w:sz w:val="24"/>
                <w:szCs w:val="24"/>
              </w:rPr>
            </w:pPr>
            <w:r>
              <w:rPr>
                <w:rFonts w:hint="eastAsia"/>
                <w:sz w:val="24"/>
                <w:szCs w:val="24"/>
              </w:rPr>
              <w:t xml:space="preserve">大写：                      </w:t>
            </w:r>
            <w:r>
              <w:rPr>
                <w:rFonts w:hint="eastAsia"/>
                <w:sz w:val="18"/>
                <w:szCs w:val="18"/>
              </w:rPr>
              <w:t>元/吨</w:t>
            </w:r>
          </w:p>
        </w:tc>
        <w:tc>
          <w:tcPr>
            <w:tcW w:w="889" w:type="pct"/>
            <w:vMerge w:val="continue"/>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5000" w:type="pct"/>
            <w:gridSpan w:val="5"/>
          </w:tcPr>
          <w:p>
            <w:pPr>
              <w:rPr>
                <w:sz w:val="28"/>
                <w:szCs w:val="28"/>
              </w:rPr>
            </w:pPr>
            <w:r>
              <w:rPr>
                <w:rFonts w:hint="eastAsia"/>
                <w:sz w:val="28"/>
                <w:szCs w:val="28"/>
              </w:rPr>
              <w:t>备注: 以上报价含税、含运费，一票制，税率为13%。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5000" w:type="pct"/>
            <w:gridSpan w:val="5"/>
          </w:tcPr>
          <w:p>
            <w:pPr>
              <w:rPr>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5000" w:type="pct"/>
            <w:gridSpan w:val="5"/>
          </w:tcPr>
          <w:p>
            <w:pPr>
              <w:rPr>
                <w:sz w:val="28"/>
                <w:szCs w:val="28"/>
              </w:rPr>
            </w:pPr>
            <w:r>
              <w:rPr>
                <w:rFonts w:hint="eastAsia"/>
                <w:sz w:val="28"/>
                <w:szCs w:val="28"/>
              </w:rPr>
              <w:t>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000" w:type="pct"/>
            <w:gridSpan w:val="5"/>
          </w:tcPr>
          <w:p>
            <w:pPr>
              <w:rPr>
                <w:sz w:val="28"/>
                <w:szCs w:val="28"/>
              </w:rPr>
            </w:pPr>
            <w:r>
              <w:rPr>
                <w:rFonts w:hint="eastAsia"/>
                <w:sz w:val="28"/>
                <w:szCs w:val="28"/>
              </w:rPr>
              <w:t>日期：</w:t>
            </w:r>
          </w:p>
        </w:tc>
      </w:tr>
    </w:tbl>
    <w:p>
      <w:pPr>
        <w:rPr>
          <w:rFonts w:hint="eastAsia"/>
        </w:rPr>
      </w:pPr>
    </w:p>
    <w:p>
      <w:pPr>
        <w:bidi w:val="0"/>
        <w:rPr>
          <w:rFonts w:hint="default"/>
          <w:lang w:val="en-US" w:eastAsia="zh-CN"/>
        </w:rPr>
      </w:pPr>
    </w:p>
    <w:p>
      <w:pPr>
        <w:tabs>
          <w:tab w:val="left" w:pos="762"/>
        </w:tabs>
        <w:bidi w:val="0"/>
        <w:jc w:val="left"/>
        <w:rPr>
          <w:rFonts w:hint="default"/>
          <w:sz w:val="20"/>
          <w:szCs w:val="1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宋体"/>
    <w:panose1 w:val="00000000000000000000"/>
    <w:charset w:val="86"/>
    <w:family w:val="modern"/>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D3FFC"/>
    <w:multiLevelType w:val="singleLevel"/>
    <w:tmpl w:val="BAAD3FFC"/>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0B5D0F"/>
    <w:rsid w:val="01935619"/>
    <w:rsid w:val="01A6379C"/>
    <w:rsid w:val="01BA37EC"/>
    <w:rsid w:val="02F9403D"/>
    <w:rsid w:val="038D2F19"/>
    <w:rsid w:val="0399230F"/>
    <w:rsid w:val="03B232AF"/>
    <w:rsid w:val="043C4162"/>
    <w:rsid w:val="04823B21"/>
    <w:rsid w:val="04CE3E6C"/>
    <w:rsid w:val="050E6648"/>
    <w:rsid w:val="05324816"/>
    <w:rsid w:val="05325D34"/>
    <w:rsid w:val="05350A6F"/>
    <w:rsid w:val="053B5FB3"/>
    <w:rsid w:val="05C52E89"/>
    <w:rsid w:val="05DE4E53"/>
    <w:rsid w:val="06CB7169"/>
    <w:rsid w:val="07BA48CA"/>
    <w:rsid w:val="0831406E"/>
    <w:rsid w:val="083A4C2B"/>
    <w:rsid w:val="085B58B3"/>
    <w:rsid w:val="08A96692"/>
    <w:rsid w:val="090F2391"/>
    <w:rsid w:val="097B7AE5"/>
    <w:rsid w:val="0A7646D9"/>
    <w:rsid w:val="0AF63A42"/>
    <w:rsid w:val="0B5E1A54"/>
    <w:rsid w:val="0BFF25BD"/>
    <w:rsid w:val="0CBC295F"/>
    <w:rsid w:val="0D2F279C"/>
    <w:rsid w:val="0DF07D84"/>
    <w:rsid w:val="0E497616"/>
    <w:rsid w:val="0E842CB1"/>
    <w:rsid w:val="0F0803D8"/>
    <w:rsid w:val="0F347211"/>
    <w:rsid w:val="10031B51"/>
    <w:rsid w:val="10094A89"/>
    <w:rsid w:val="10CA64E1"/>
    <w:rsid w:val="110928F7"/>
    <w:rsid w:val="11654D47"/>
    <w:rsid w:val="11BA6270"/>
    <w:rsid w:val="135C10D5"/>
    <w:rsid w:val="139F3DA1"/>
    <w:rsid w:val="13D576D7"/>
    <w:rsid w:val="14772C2B"/>
    <w:rsid w:val="14881933"/>
    <w:rsid w:val="14F3071A"/>
    <w:rsid w:val="154D48F1"/>
    <w:rsid w:val="158A4695"/>
    <w:rsid w:val="16541AFE"/>
    <w:rsid w:val="1694444C"/>
    <w:rsid w:val="17131114"/>
    <w:rsid w:val="1724223F"/>
    <w:rsid w:val="17F97F08"/>
    <w:rsid w:val="18560C92"/>
    <w:rsid w:val="18ED4DB4"/>
    <w:rsid w:val="190E09F1"/>
    <w:rsid w:val="19B16948"/>
    <w:rsid w:val="1A8A6D05"/>
    <w:rsid w:val="1AA53F86"/>
    <w:rsid w:val="1B846959"/>
    <w:rsid w:val="1B912201"/>
    <w:rsid w:val="1BB65A49"/>
    <w:rsid w:val="1C430554"/>
    <w:rsid w:val="1CCB1E53"/>
    <w:rsid w:val="1D2E11E1"/>
    <w:rsid w:val="1E8C7D42"/>
    <w:rsid w:val="1E8E57E6"/>
    <w:rsid w:val="1E937D02"/>
    <w:rsid w:val="1F0727C6"/>
    <w:rsid w:val="1F0B69B1"/>
    <w:rsid w:val="1F107E3E"/>
    <w:rsid w:val="1F4242F7"/>
    <w:rsid w:val="1F802445"/>
    <w:rsid w:val="1FF51B5E"/>
    <w:rsid w:val="202B640C"/>
    <w:rsid w:val="205026F2"/>
    <w:rsid w:val="205B3F9B"/>
    <w:rsid w:val="20AF2F52"/>
    <w:rsid w:val="21133B37"/>
    <w:rsid w:val="21534F77"/>
    <w:rsid w:val="21A2160C"/>
    <w:rsid w:val="21E966E6"/>
    <w:rsid w:val="224B04E8"/>
    <w:rsid w:val="22B96773"/>
    <w:rsid w:val="22E00851"/>
    <w:rsid w:val="235C23EB"/>
    <w:rsid w:val="23CB766B"/>
    <w:rsid w:val="23CE57C2"/>
    <w:rsid w:val="23D22DCD"/>
    <w:rsid w:val="246A25A2"/>
    <w:rsid w:val="25206CD2"/>
    <w:rsid w:val="25230E4D"/>
    <w:rsid w:val="25466F1F"/>
    <w:rsid w:val="258E0AE8"/>
    <w:rsid w:val="25B129B0"/>
    <w:rsid w:val="268D7081"/>
    <w:rsid w:val="26F50CB1"/>
    <w:rsid w:val="26F906B4"/>
    <w:rsid w:val="278055FF"/>
    <w:rsid w:val="288D3DC5"/>
    <w:rsid w:val="28B030F4"/>
    <w:rsid w:val="28E2171B"/>
    <w:rsid w:val="29401D6D"/>
    <w:rsid w:val="2B8C5436"/>
    <w:rsid w:val="2BBB5AD5"/>
    <w:rsid w:val="2BF10F3E"/>
    <w:rsid w:val="2BF40243"/>
    <w:rsid w:val="2BFD06EE"/>
    <w:rsid w:val="2C204052"/>
    <w:rsid w:val="2C4E01C4"/>
    <w:rsid w:val="2CF31D5E"/>
    <w:rsid w:val="2D030B4F"/>
    <w:rsid w:val="2E3D1B0F"/>
    <w:rsid w:val="2EA431DB"/>
    <w:rsid w:val="2EDD294B"/>
    <w:rsid w:val="2F163A70"/>
    <w:rsid w:val="302E15AB"/>
    <w:rsid w:val="3036622A"/>
    <w:rsid w:val="30474844"/>
    <w:rsid w:val="30CA3841"/>
    <w:rsid w:val="3130279D"/>
    <w:rsid w:val="313649C9"/>
    <w:rsid w:val="31DF7B93"/>
    <w:rsid w:val="324F62A8"/>
    <w:rsid w:val="32E00DA4"/>
    <w:rsid w:val="32F7522E"/>
    <w:rsid w:val="339D246B"/>
    <w:rsid w:val="342060A8"/>
    <w:rsid w:val="34BB556C"/>
    <w:rsid w:val="35212328"/>
    <w:rsid w:val="358603F2"/>
    <w:rsid w:val="36A65EF8"/>
    <w:rsid w:val="36FB2C59"/>
    <w:rsid w:val="373827F1"/>
    <w:rsid w:val="378C21EF"/>
    <w:rsid w:val="379345D1"/>
    <w:rsid w:val="37974BFF"/>
    <w:rsid w:val="37BE23C2"/>
    <w:rsid w:val="37F02022"/>
    <w:rsid w:val="37F27DC4"/>
    <w:rsid w:val="37FA0AD6"/>
    <w:rsid w:val="383E2980"/>
    <w:rsid w:val="384A1E85"/>
    <w:rsid w:val="387F2F2C"/>
    <w:rsid w:val="3A3F65BD"/>
    <w:rsid w:val="3A773720"/>
    <w:rsid w:val="3AFC391A"/>
    <w:rsid w:val="3B14535E"/>
    <w:rsid w:val="3C036E6F"/>
    <w:rsid w:val="3C3E683E"/>
    <w:rsid w:val="3C456A69"/>
    <w:rsid w:val="3C487023"/>
    <w:rsid w:val="3C887586"/>
    <w:rsid w:val="3D522FF0"/>
    <w:rsid w:val="3D5A40AB"/>
    <w:rsid w:val="3DB441B2"/>
    <w:rsid w:val="3DD2066D"/>
    <w:rsid w:val="3DD452AF"/>
    <w:rsid w:val="3DD967AA"/>
    <w:rsid w:val="3E371640"/>
    <w:rsid w:val="3E66724B"/>
    <w:rsid w:val="3EB9202C"/>
    <w:rsid w:val="3EB93F1F"/>
    <w:rsid w:val="3EC14D90"/>
    <w:rsid w:val="3EE80BA8"/>
    <w:rsid w:val="3EF869AA"/>
    <w:rsid w:val="3F0B65A3"/>
    <w:rsid w:val="3FC82DB5"/>
    <w:rsid w:val="404A6AC9"/>
    <w:rsid w:val="40E60214"/>
    <w:rsid w:val="41394D83"/>
    <w:rsid w:val="41803823"/>
    <w:rsid w:val="41A706B0"/>
    <w:rsid w:val="41BF02F4"/>
    <w:rsid w:val="422E1FDF"/>
    <w:rsid w:val="423C71D1"/>
    <w:rsid w:val="426213B7"/>
    <w:rsid w:val="42CE1EFE"/>
    <w:rsid w:val="435C1211"/>
    <w:rsid w:val="43DE4636"/>
    <w:rsid w:val="44106AE0"/>
    <w:rsid w:val="44367FF1"/>
    <w:rsid w:val="4500284B"/>
    <w:rsid w:val="45407B03"/>
    <w:rsid w:val="45C004AA"/>
    <w:rsid w:val="46587D68"/>
    <w:rsid w:val="46CC5915"/>
    <w:rsid w:val="47847BD9"/>
    <w:rsid w:val="47AD4330"/>
    <w:rsid w:val="48582775"/>
    <w:rsid w:val="48836EA0"/>
    <w:rsid w:val="48C72F43"/>
    <w:rsid w:val="48E1049E"/>
    <w:rsid w:val="49056F4D"/>
    <w:rsid w:val="49280B38"/>
    <w:rsid w:val="492C5B3D"/>
    <w:rsid w:val="49A4783E"/>
    <w:rsid w:val="4A603B29"/>
    <w:rsid w:val="4A790DED"/>
    <w:rsid w:val="4A85340F"/>
    <w:rsid w:val="4ACE7F4F"/>
    <w:rsid w:val="4AED65F2"/>
    <w:rsid w:val="4B635392"/>
    <w:rsid w:val="4BA21255"/>
    <w:rsid w:val="4DC66F68"/>
    <w:rsid w:val="510A2956"/>
    <w:rsid w:val="514F2EE0"/>
    <w:rsid w:val="51A458AF"/>
    <w:rsid w:val="527F49C8"/>
    <w:rsid w:val="52E54E97"/>
    <w:rsid w:val="52EE0AE7"/>
    <w:rsid w:val="5351746E"/>
    <w:rsid w:val="536967A8"/>
    <w:rsid w:val="53AB6FFE"/>
    <w:rsid w:val="5403556E"/>
    <w:rsid w:val="54664C18"/>
    <w:rsid w:val="554C057B"/>
    <w:rsid w:val="56065626"/>
    <w:rsid w:val="562E1D47"/>
    <w:rsid w:val="566E6D8E"/>
    <w:rsid w:val="56B606CC"/>
    <w:rsid w:val="56FF0A43"/>
    <w:rsid w:val="57AC75B3"/>
    <w:rsid w:val="57D705F2"/>
    <w:rsid w:val="57EA4190"/>
    <w:rsid w:val="59677D4F"/>
    <w:rsid w:val="598A03E4"/>
    <w:rsid w:val="59A57A14"/>
    <w:rsid w:val="5AAF6E02"/>
    <w:rsid w:val="5AEA3AD0"/>
    <w:rsid w:val="5B1D2529"/>
    <w:rsid w:val="5B35349E"/>
    <w:rsid w:val="5B3F7D83"/>
    <w:rsid w:val="5B527398"/>
    <w:rsid w:val="5BA959B9"/>
    <w:rsid w:val="5CC70FAC"/>
    <w:rsid w:val="5D173705"/>
    <w:rsid w:val="5D1B4B8A"/>
    <w:rsid w:val="5D915ACD"/>
    <w:rsid w:val="5E093F5D"/>
    <w:rsid w:val="5E611270"/>
    <w:rsid w:val="5EB2026E"/>
    <w:rsid w:val="5FA30C9C"/>
    <w:rsid w:val="5FE13E30"/>
    <w:rsid w:val="60883A59"/>
    <w:rsid w:val="60CE444D"/>
    <w:rsid w:val="61033D16"/>
    <w:rsid w:val="623E76D0"/>
    <w:rsid w:val="625B24D7"/>
    <w:rsid w:val="62CD795C"/>
    <w:rsid w:val="6438579B"/>
    <w:rsid w:val="655749FB"/>
    <w:rsid w:val="65E5671A"/>
    <w:rsid w:val="66EA0C9A"/>
    <w:rsid w:val="66FB3BC1"/>
    <w:rsid w:val="67023348"/>
    <w:rsid w:val="6753255C"/>
    <w:rsid w:val="678F7868"/>
    <w:rsid w:val="686F59C5"/>
    <w:rsid w:val="68985C4A"/>
    <w:rsid w:val="68BB275A"/>
    <w:rsid w:val="695E0A51"/>
    <w:rsid w:val="6AE713EB"/>
    <w:rsid w:val="6B015D37"/>
    <w:rsid w:val="6B8D7C67"/>
    <w:rsid w:val="6B9014C7"/>
    <w:rsid w:val="6C7B13C4"/>
    <w:rsid w:val="6C7F53F5"/>
    <w:rsid w:val="6CA73029"/>
    <w:rsid w:val="6CB25A7F"/>
    <w:rsid w:val="6D027CD6"/>
    <w:rsid w:val="6DD71BCE"/>
    <w:rsid w:val="6E3164EF"/>
    <w:rsid w:val="6E550ED4"/>
    <w:rsid w:val="6EA5652C"/>
    <w:rsid w:val="6ECD772E"/>
    <w:rsid w:val="6ED71557"/>
    <w:rsid w:val="6F0C38CA"/>
    <w:rsid w:val="6F6774FE"/>
    <w:rsid w:val="70243E6C"/>
    <w:rsid w:val="706A3FF6"/>
    <w:rsid w:val="70737BDA"/>
    <w:rsid w:val="70D03715"/>
    <w:rsid w:val="70E0155E"/>
    <w:rsid w:val="711219DD"/>
    <w:rsid w:val="713C5670"/>
    <w:rsid w:val="719201E7"/>
    <w:rsid w:val="71F96DCA"/>
    <w:rsid w:val="72107C5B"/>
    <w:rsid w:val="732D2693"/>
    <w:rsid w:val="73476175"/>
    <w:rsid w:val="7357254E"/>
    <w:rsid w:val="73611393"/>
    <w:rsid w:val="7431112D"/>
    <w:rsid w:val="749D6575"/>
    <w:rsid w:val="754F1E1A"/>
    <w:rsid w:val="761859F6"/>
    <w:rsid w:val="76206BC5"/>
    <w:rsid w:val="770E210B"/>
    <w:rsid w:val="773210D8"/>
    <w:rsid w:val="77846985"/>
    <w:rsid w:val="778A5616"/>
    <w:rsid w:val="77F80B55"/>
    <w:rsid w:val="780E1C86"/>
    <w:rsid w:val="78184195"/>
    <w:rsid w:val="784D0939"/>
    <w:rsid w:val="78C639C7"/>
    <w:rsid w:val="78E1515C"/>
    <w:rsid w:val="790731F3"/>
    <w:rsid w:val="790756AF"/>
    <w:rsid w:val="7949658A"/>
    <w:rsid w:val="797A02ED"/>
    <w:rsid w:val="79B23223"/>
    <w:rsid w:val="79DE1204"/>
    <w:rsid w:val="7A447EB1"/>
    <w:rsid w:val="7A6263B1"/>
    <w:rsid w:val="7A757773"/>
    <w:rsid w:val="7ADF17B7"/>
    <w:rsid w:val="7AEB0EA5"/>
    <w:rsid w:val="7AF9718A"/>
    <w:rsid w:val="7B386B42"/>
    <w:rsid w:val="7BBC102F"/>
    <w:rsid w:val="7BD509C2"/>
    <w:rsid w:val="7BDC0741"/>
    <w:rsid w:val="7C070CDC"/>
    <w:rsid w:val="7C9625E2"/>
    <w:rsid w:val="7D0716F9"/>
    <w:rsid w:val="7D2A47F3"/>
    <w:rsid w:val="7DBA6C81"/>
    <w:rsid w:val="7F3F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51"/>
    <w:basedOn w:val="11"/>
    <w:qFormat/>
    <w:uiPriority w:val="0"/>
    <w:rPr>
      <w:rFonts w:hint="eastAsia" w:ascii="宋体" w:hAnsi="宋体" w:eastAsia="宋体" w:cs="宋体"/>
      <w:color w:val="000000"/>
      <w:sz w:val="18"/>
      <w:szCs w:val="18"/>
      <w:u w:val="none"/>
    </w:rPr>
  </w:style>
  <w:style w:type="character" w:customStyle="1" w:styleId="24">
    <w:name w:val="font21"/>
    <w:basedOn w:val="11"/>
    <w:qFormat/>
    <w:uiPriority w:val="0"/>
    <w:rPr>
      <w:rFonts w:hint="default" w:ascii="Times New Roman" w:hAnsi="Times New Roman" w:cs="Times New Roman"/>
      <w:color w:val="000000"/>
      <w:sz w:val="18"/>
      <w:szCs w:val="18"/>
      <w:u w:val="none"/>
    </w:rPr>
  </w:style>
  <w:style w:type="character" w:customStyle="1" w:styleId="25">
    <w:name w:val="font11"/>
    <w:basedOn w:val="11"/>
    <w:qFormat/>
    <w:uiPriority w:val="0"/>
    <w:rPr>
      <w:rFonts w:hint="default" w:ascii="Times New Roman" w:hAnsi="Times New Roman" w:cs="Times New Roman"/>
      <w:color w:val="000000"/>
      <w:sz w:val="28"/>
      <w:szCs w:val="28"/>
      <w:u w:val="none"/>
    </w:rPr>
  </w:style>
  <w:style w:type="character" w:customStyle="1" w:styleId="26">
    <w:name w:val="font01"/>
    <w:basedOn w:val="11"/>
    <w:qFormat/>
    <w:uiPriority w:val="0"/>
    <w:rPr>
      <w:rFonts w:hint="eastAsia" w:ascii="宋体" w:hAnsi="宋体" w:eastAsia="宋体" w:cs="宋体"/>
      <w:color w:val="FF0000"/>
      <w:sz w:val="24"/>
      <w:szCs w:val="24"/>
      <w:u w:val="none"/>
    </w:rPr>
  </w:style>
  <w:style w:type="character" w:customStyle="1" w:styleId="27">
    <w:name w:val="font41"/>
    <w:basedOn w:val="1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12</TotalTime>
  <ScaleCrop>false</ScaleCrop>
  <LinksUpToDate>false</LinksUpToDate>
  <CharactersWithSpaces>5037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2021-11-16T02:51:06Z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453E5B5609E442AFA1DE49CA80052D1B</vt:lpwstr>
  </property>
</Properties>
</file>