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优钢保护渣</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17</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LGSC</w:t>
      </w:r>
      <w:r>
        <w:rPr>
          <w:rFonts w:hint="eastAsia" w:ascii="宋体" w:hAnsi="宋体"/>
          <w:u w:val="single"/>
          <w:lang w:val="en-US" w:eastAsia="zh-CN"/>
        </w:rPr>
        <w:t>20211100013YGBHZ</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优钢保护渣</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bookmarkStart w:id="0" w:name="_GoBack"/>
      <w:bookmarkEnd w:id="0"/>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pStyle w:val="2"/>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炼</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钢</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部</w:t>
      </w:r>
      <w:r>
        <w:rPr>
          <w:rFonts w:hint="eastAsia" w:ascii="宋体" w:hAnsi="宋体" w:cs="Times New Roman"/>
          <w:kern w:val="2"/>
          <w:sz w:val="24"/>
          <w:szCs w:val="24"/>
          <w:highlight w:val="none"/>
          <w:lang w:val="en-US" w:eastAsia="zh-CN" w:bidi="ar-SA"/>
        </w:rPr>
        <w:t>：       王  工    15655389634</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24</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26</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24</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建议</w:t>
      </w:r>
      <w:r>
        <w:rPr>
          <w:rFonts w:hint="eastAsia" w:ascii="宋体" w:hAnsi="宋体"/>
          <w:sz w:val="24"/>
          <w:szCs w:val="24"/>
        </w:rPr>
        <w:t>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满足炼钢生产使用要求，详见技术文件要求。</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炼钢年产量300万吨左右。保护渣的使用根据相对应钢种计划。共三大类11个    品种，共分11个标段：</w:t>
      </w:r>
    </w:p>
    <w:p>
      <w:pPr>
        <w:widowControl w:val="0"/>
        <w:spacing w:line="240" w:lineRule="atLeast"/>
        <w:ind w:firstLine="422" w:firstLineChars="200"/>
        <w:jc w:val="both"/>
        <w:rPr>
          <w:rFonts w:hint="eastAsia" w:ascii="宋体" w:hAnsi="宋体"/>
          <w:b/>
          <w:color w:val="FF0000"/>
          <w:sz w:val="21"/>
          <w:szCs w:val="21"/>
        </w:rPr>
      </w:pPr>
      <w:r>
        <w:rPr>
          <w:rFonts w:hint="eastAsia" w:ascii="宋体" w:hAnsi="宋体"/>
          <w:b/>
          <w:color w:val="FF0000"/>
          <w:sz w:val="21"/>
          <w:szCs w:val="21"/>
          <w:lang w:eastAsia="zh-CN"/>
        </w:rPr>
        <w:t>（</w:t>
      </w:r>
      <w:r>
        <w:rPr>
          <w:rFonts w:hint="eastAsia" w:ascii="宋体" w:hAnsi="宋体"/>
          <w:b/>
          <w:color w:val="FF0000"/>
          <w:sz w:val="21"/>
          <w:szCs w:val="21"/>
        </w:rPr>
        <w:t>1</w:t>
      </w:r>
      <w:r>
        <w:rPr>
          <w:rFonts w:hint="eastAsia" w:ascii="宋体" w:hAnsi="宋体"/>
          <w:b/>
          <w:color w:val="FF0000"/>
          <w:sz w:val="21"/>
          <w:szCs w:val="21"/>
          <w:lang w:eastAsia="zh-CN"/>
        </w:rPr>
        <w:t>）</w:t>
      </w:r>
      <w:r>
        <w:rPr>
          <w:rFonts w:hint="eastAsia" w:ascii="宋体" w:hAnsi="宋体"/>
          <w:b/>
          <w:color w:val="FF0000"/>
          <w:sz w:val="21"/>
          <w:szCs w:val="21"/>
        </w:rPr>
        <w:t>、小方坯螺纹钢保护渣。</w:t>
      </w:r>
    </w:p>
    <w:p>
      <w:pPr>
        <w:widowControl w:val="0"/>
        <w:spacing w:line="240" w:lineRule="atLeast"/>
        <w:ind w:firstLine="420" w:firstLineChars="200"/>
        <w:jc w:val="both"/>
        <w:rPr>
          <w:rFonts w:hint="eastAsia" w:ascii="宋体" w:hAnsi="宋体" w:cs="宋体"/>
          <w:color w:val="FF0000"/>
        </w:rPr>
      </w:pPr>
      <w:r>
        <w:rPr>
          <w:rFonts w:hint="eastAsia" w:ascii="宋体" w:hAnsi="宋体" w:cs="宋体"/>
          <w:color w:val="FF0000"/>
        </w:rPr>
        <w:t>铸坯断面为180mm×180mm，钢种为螺纹钢系列。</w:t>
      </w:r>
    </w:p>
    <w:p>
      <w:pPr>
        <w:widowControl w:val="0"/>
        <w:spacing w:line="240" w:lineRule="atLeast"/>
        <w:ind w:firstLine="422" w:firstLineChars="200"/>
        <w:jc w:val="both"/>
        <w:rPr>
          <w:rFonts w:hint="eastAsia" w:ascii="宋体" w:hAnsi="宋体"/>
          <w:b/>
          <w:color w:val="FF0000"/>
          <w:sz w:val="21"/>
          <w:szCs w:val="21"/>
        </w:rPr>
      </w:pPr>
      <w:r>
        <w:rPr>
          <w:rFonts w:hint="eastAsia" w:ascii="宋体" w:hAnsi="宋体"/>
          <w:b/>
          <w:color w:val="FF0000"/>
          <w:sz w:val="21"/>
          <w:szCs w:val="21"/>
          <w:lang w:eastAsia="zh-CN"/>
        </w:rPr>
        <w:t>（2）</w:t>
      </w:r>
      <w:r>
        <w:rPr>
          <w:rFonts w:hint="eastAsia" w:ascii="宋体" w:hAnsi="宋体"/>
          <w:b/>
          <w:color w:val="FF0000"/>
          <w:sz w:val="21"/>
          <w:szCs w:val="21"/>
        </w:rPr>
        <w:t>、方坯优钢保护渣。</w:t>
      </w:r>
    </w:p>
    <w:p>
      <w:pPr>
        <w:widowControl w:val="0"/>
        <w:spacing w:line="312" w:lineRule="auto"/>
        <w:ind w:left="420" w:leftChars="200" w:firstLine="0" w:firstLineChars="0"/>
        <w:rPr>
          <w:rFonts w:hint="eastAsia" w:ascii="宋体" w:hAnsi="宋体" w:cs="宋体"/>
          <w:color w:val="FF0000"/>
        </w:rPr>
      </w:pPr>
      <w:r>
        <w:rPr>
          <w:rFonts w:hint="eastAsia" w:ascii="宋体" w:hAnsi="宋体"/>
          <w:color w:val="FF0000"/>
          <w:sz w:val="21"/>
          <w:szCs w:val="21"/>
        </w:rPr>
        <w:t>铸坯断面为180mm×180mm；包含</w:t>
      </w:r>
      <w:r>
        <w:rPr>
          <w:rFonts w:hint="eastAsia" w:ascii="宋体" w:hAnsi="宋体" w:cs="宋体"/>
          <w:color w:val="FF0000"/>
        </w:rPr>
        <w:t>HRB600系列、ML08Al系列、SWRCH35K系列、SWRH82B系列、包晶钢Q195系列、含硼钢专用保护渣系列、1215易切削钢保护渣共7个系列。</w:t>
      </w:r>
    </w:p>
    <w:p>
      <w:pPr>
        <w:widowControl w:val="0"/>
        <w:spacing w:line="312" w:lineRule="auto"/>
        <w:ind w:firstLine="422" w:firstLineChars="200"/>
        <w:rPr>
          <w:rFonts w:hint="eastAsia" w:ascii="宋体" w:hAnsi="宋体"/>
          <w:color w:val="FF0000"/>
          <w:sz w:val="21"/>
          <w:szCs w:val="21"/>
        </w:rPr>
      </w:pPr>
      <w:r>
        <w:rPr>
          <w:rFonts w:hint="eastAsia" w:ascii="宋体" w:hAnsi="宋体"/>
          <w:b/>
          <w:color w:val="FF0000"/>
          <w:sz w:val="21"/>
          <w:szCs w:val="21"/>
          <w:lang w:eastAsia="zh-CN"/>
        </w:rPr>
        <w:t>（</w:t>
      </w:r>
      <w:r>
        <w:rPr>
          <w:rFonts w:hint="eastAsia" w:ascii="宋体" w:hAnsi="宋体"/>
          <w:b/>
          <w:color w:val="FF0000"/>
          <w:sz w:val="21"/>
          <w:szCs w:val="21"/>
        </w:rPr>
        <w:t>3</w:t>
      </w:r>
      <w:r>
        <w:rPr>
          <w:rFonts w:hint="eastAsia" w:ascii="宋体" w:hAnsi="宋体"/>
          <w:b/>
          <w:color w:val="FF0000"/>
          <w:sz w:val="21"/>
          <w:szCs w:val="21"/>
          <w:lang w:eastAsia="zh-CN"/>
        </w:rPr>
        <w:t>）</w:t>
      </w:r>
      <w:r>
        <w:rPr>
          <w:rFonts w:hint="eastAsia" w:ascii="宋体" w:hAnsi="宋体"/>
          <w:b/>
          <w:color w:val="FF0000"/>
          <w:sz w:val="21"/>
          <w:szCs w:val="21"/>
        </w:rPr>
        <w:t>、优特钢保护渣</w:t>
      </w:r>
      <w:r>
        <w:rPr>
          <w:rFonts w:hint="eastAsia" w:ascii="宋体" w:hAnsi="宋体"/>
          <w:color w:val="FF0000"/>
          <w:sz w:val="21"/>
          <w:szCs w:val="21"/>
        </w:rPr>
        <w:t>。</w:t>
      </w:r>
    </w:p>
    <w:p>
      <w:pPr>
        <w:numPr>
          <w:numId w:val="0"/>
        </w:numPr>
        <w:spacing w:line="360" w:lineRule="auto"/>
        <w:ind w:left="420" w:leftChars="200" w:firstLine="420" w:firstLineChars="200"/>
        <w:rPr>
          <w:rFonts w:hint="eastAsia" w:ascii="宋体" w:hAnsi="宋体"/>
          <w:b/>
          <w:color w:val="FF0000"/>
          <w:sz w:val="24"/>
          <w:szCs w:val="24"/>
          <w:lang w:val="en-US" w:eastAsia="zh-CN"/>
        </w:rPr>
      </w:pPr>
      <w:r>
        <w:rPr>
          <w:rFonts w:hint="eastAsia" w:ascii="宋体" w:hAnsi="宋体" w:cs="宋体"/>
          <w:color w:val="FF0000"/>
        </w:rPr>
        <w:t>铸坯断面为三连铸Φ300mm、四连铸Φ600mm和370mm×480mm；包含三连铸圆坯保护渣、四连铸方圆坯保护渣、38CrMoAl共3个系列。</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要求专业保护渣生产厂家，提供2019至今三份及以上大型钢厂同类型保护渣供货业绩。</w:t>
      </w:r>
    </w:p>
    <w:p>
      <w:pPr>
        <w:numPr>
          <w:ilvl w:val="0"/>
          <w:numId w:val="8"/>
        </w:numPr>
        <w:spacing w:line="360" w:lineRule="auto"/>
        <w:ind w:left="358"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合同执行周期为两年。</w:t>
      </w:r>
    </w:p>
    <w:p>
      <w:pPr>
        <w:numPr>
          <w:ilvl w:val="0"/>
          <w:numId w:val="8"/>
        </w:numPr>
        <w:spacing w:line="360" w:lineRule="auto"/>
        <w:ind w:left="358" w:leftChars="0" w:firstLine="482" w:firstLineChars="0"/>
        <w:rPr>
          <w:rFonts w:hint="default" w:ascii="宋体" w:hAnsi="宋体"/>
          <w:b/>
          <w:color w:val="FF0000"/>
          <w:sz w:val="24"/>
          <w:szCs w:val="24"/>
          <w:lang w:val="en-US" w:eastAsia="zh-CN"/>
        </w:rPr>
      </w:pPr>
      <w:r>
        <w:rPr>
          <w:rFonts w:hint="eastAsia" w:ascii="宋体" w:hAnsi="宋体"/>
          <w:b/>
          <w:color w:val="FF0000"/>
          <w:sz w:val="24"/>
          <w:szCs w:val="24"/>
          <w:lang w:val="en-US" w:eastAsia="zh-CN"/>
        </w:rPr>
        <w:t>报价要求含税、含运费，一票制。详见附件报价格式表格。</w:t>
      </w: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numPr>
          <w:ilvl w:val="0"/>
          <w:numId w:val="0"/>
        </w:numPr>
        <w:spacing w:line="360" w:lineRule="auto"/>
        <w:ind w:firstLine="964" w:firstLineChars="400"/>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p>
    <w:p>
      <w:pPr>
        <w:jc w:val="left"/>
        <w:rPr>
          <w:rFonts w:hint="eastAsia"/>
          <w:b/>
          <w:color w:val="auto"/>
          <w:sz w:val="24"/>
          <w:szCs w:val="24"/>
          <w:u w:val="none" w:color="auto"/>
          <w:lang w:val="en-US" w:eastAsia="zh-CN"/>
        </w:rPr>
      </w:pP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ascii="仿宋_GB2312" w:eastAsia="仿宋_GB2312"/>
          <w:sz w:val="28"/>
          <w:szCs w:val="28"/>
        </w:rPr>
      </w:pPr>
    </w:p>
    <w:p>
      <w:pPr>
        <w:rPr>
          <w:rFonts w:hint="eastAsia"/>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优钢保护渣</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tbl>
      <w:tblPr>
        <w:tblStyle w:val="10"/>
        <w:tblpPr w:leftFromText="180" w:rightFromText="180" w:vertAnchor="text" w:horzAnchor="page" w:tblpX="1198" w:tblpY="988"/>
        <w:tblOverlap w:val="never"/>
        <w:tblW w:w="10078" w:type="dxa"/>
        <w:tblInd w:w="0" w:type="dxa"/>
        <w:shd w:val="clear" w:color="auto" w:fill="auto"/>
        <w:tblLayout w:type="autofit"/>
        <w:tblCellMar>
          <w:top w:w="0" w:type="dxa"/>
          <w:left w:w="0" w:type="dxa"/>
          <w:bottom w:w="0" w:type="dxa"/>
          <w:right w:w="0" w:type="dxa"/>
        </w:tblCellMar>
      </w:tblPr>
      <w:tblGrid>
        <w:gridCol w:w="1108"/>
        <w:gridCol w:w="3763"/>
        <w:gridCol w:w="3494"/>
        <w:gridCol w:w="1713"/>
      </w:tblGrid>
      <w:tr>
        <w:tblPrEx>
          <w:tblCellMar>
            <w:top w:w="0" w:type="dxa"/>
            <w:left w:w="0" w:type="dxa"/>
            <w:bottom w:w="0" w:type="dxa"/>
            <w:right w:w="0" w:type="dxa"/>
          </w:tblCellMar>
        </w:tblPrEx>
        <w:trPr>
          <w:trHeight w:val="754" w:hRule="atLeast"/>
        </w:trPr>
        <w:tc>
          <w:tcPr>
            <w:tcW w:w="11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标段</w:t>
            </w:r>
          </w:p>
        </w:tc>
        <w:tc>
          <w:tcPr>
            <w:tcW w:w="3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34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含税、含运费报价（元</w:t>
            </w:r>
            <w:r>
              <w:rPr>
                <w:rFonts w:hint="default" w:ascii="Times New Roman" w:hAnsi="Times New Roman" w:eastAsia="宋体" w:cs="Times New Roman"/>
                <w:b/>
                <w:i w:val="0"/>
                <w:color w:val="000000"/>
                <w:kern w:val="0"/>
                <w:sz w:val="18"/>
                <w:szCs w:val="18"/>
                <w:u w:val="none"/>
                <w:lang w:val="en-US" w:eastAsia="zh-CN" w:bidi="ar"/>
              </w:rPr>
              <w:t>/</w:t>
            </w:r>
            <w:r>
              <w:rPr>
                <w:rFonts w:hint="eastAsia" w:ascii="宋体" w:hAnsi="宋体" w:eastAsia="宋体" w:cs="宋体"/>
                <w:b/>
                <w:i w:val="0"/>
                <w:color w:val="000000"/>
                <w:kern w:val="0"/>
                <w:sz w:val="18"/>
                <w:szCs w:val="18"/>
                <w:u w:val="none"/>
                <w:lang w:val="en-US" w:eastAsia="zh-CN" w:bidi="ar"/>
              </w:rPr>
              <w:t>吨</w:t>
            </w:r>
            <w:r>
              <w:rPr>
                <w:rStyle w:val="25"/>
                <w:lang w:val="en-US" w:eastAsia="zh-CN" w:bidi="ar"/>
              </w:rPr>
              <w:t>）</w:t>
            </w:r>
          </w:p>
        </w:tc>
        <w:tc>
          <w:tcPr>
            <w:tcW w:w="171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小方坯螺纹钢方保护渣</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标段2</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方坯优钢保护渣（HRB600系列）</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标段3</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方坯优钢保护渣（ML08Al系列）</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标段4</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方坯优钢保护渣（SWRCH35K系列）</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标段5</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方坯优钢保护渣（SWRH82B系列）</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标段6</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方坯优钢保护渣（包晶钢Q195系列）</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标段7</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w:t>
            </w:r>
            <w:r>
              <w:rPr>
                <w:rFonts w:hint="eastAsia" w:ascii="宋体" w:hAnsi="宋体" w:cs="宋体"/>
                <w:b/>
                <w:i w:val="0"/>
                <w:color w:val="000000"/>
                <w:kern w:val="0"/>
                <w:sz w:val="21"/>
                <w:szCs w:val="21"/>
                <w:u w:val="none"/>
                <w:lang w:val="en-US" w:eastAsia="zh-CN" w:bidi="ar"/>
              </w:rPr>
              <w:t>含硼钢专用保护渣系列</w:t>
            </w:r>
            <w:r>
              <w:rPr>
                <w:rFonts w:hint="eastAsia" w:ascii="宋体" w:hAnsi="宋体" w:eastAsia="宋体" w:cs="宋体"/>
                <w:b/>
                <w:i w:val="0"/>
                <w:color w:val="000000"/>
                <w:kern w:val="0"/>
                <w:sz w:val="21"/>
                <w:szCs w:val="21"/>
                <w:u w:val="none"/>
                <w:lang w:val="en-US" w:eastAsia="zh-CN" w:bidi="ar"/>
              </w:rPr>
              <w:t>）</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标段8</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方坯优钢保护渣（</w:t>
            </w:r>
            <w:r>
              <w:rPr>
                <w:rFonts w:hint="eastAsia" w:ascii="宋体" w:hAnsi="宋体" w:cs="宋体"/>
                <w:b/>
                <w:i w:val="0"/>
                <w:color w:val="000000"/>
                <w:kern w:val="0"/>
                <w:sz w:val="21"/>
                <w:szCs w:val="21"/>
                <w:u w:val="none"/>
                <w:lang w:val="en-US" w:eastAsia="zh-CN" w:bidi="ar"/>
              </w:rPr>
              <w:t>1215易切削钢保护渣系列</w:t>
            </w:r>
            <w:r>
              <w:rPr>
                <w:rFonts w:hint="eastAsia" w:ascii="宋体" w:hAnsi="宋体" w:eastAsia="宋体" w:cs="宋体"/>
                <w:b/>
                <w:i w:val="0"/>
                <w:color w:val="000000"/>
                <w:kern w:val="0"/>
                <w:sz w:val="21"/>
                <w:szCs w:val="21"/>
                <w:u w:val="none"/>
                <w:lang w:val="en-US" w:eastAsia="zh-CN" w:bidi="ar"/>
              </w:rPr>
              <w:t>）</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标段9</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w:t>
            </w:r>
            <w:r>
              <w:rPr>
                <w:rFonts w:hint="eastAsia" w:ascii="宋体" w:hAnsi="宋体" w:cs="宋体"/>
                <w:b/>
                <w:i w:val="0"/>
                <w:color w:val="000000"/>
                <w:kern w:val="0"/>
                <w:sz w:val="21"/>
                <w:szCs w:val="21"/>
                <w:u w:val="none"/>
                <w:lang w:val="en-US" w:eastAsia="zh-CN" w:bidi="ar"/>
              </w:rPr>
              <w:t>三连铸圆坯</w:t>
            </w:r>
            <w:r>
              <w:rPr>
                <w:rFonts w:hint="eastAsia" w:ascii="宋体" w:hAnsi="宋体" w:eastAsia="宋体" w:cs="宋体"/>
                <w:b/>
                <w:i w:val="0"/>
                <w:color w:val="000000"/>
                <w:kern w:val="0"/>
                <w:sz w:val="21"/>
                <w:szCs w:val="21"/>
                <w:u w:val="none"/>
                <w:lang w:val="en-US" w:eastAsia="zh-CN" w:bidi="ar"/>
              </w:rPr>
              <w:t>保护渣）</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标段10</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w:t>
            </w:r>
            <w:r>
              <w:rPr>
                <w:rFonts w:hint="eastAsia" w:ascii="宋体" w:hAnsi="宋体" w:cs="宋体"/>
                <w:b/>
                <w:i w:val="0"/>
                <w:color w:val="000000"/>
                <w:kern w:val="0"/>
                <w:sz w:val="21"/>
                <w:szCs w:val="21"/>
                <w:u w:val="none"/>
                <w:lang w:val="en-US" w:eastAsia="zh-CN" w:bidi="ar"/>
              </w:rPr>
              <w:t>四连铸方圆坯保护渣</w:t>
            </w:r>
            <w:r>
              <w:rPr>
                <w:rFonts w:hint="eastAsia" w:ascii="宋体" w:hAnsi="宋体" w:eastAsia="宋体" w:cs="宋体"/>
                <w:b/>
                <w:i w:val="0"/>
                <w:color w:val="000000"/>
                <w:kern w:val="0"/>
                <w:sz w:val="21"/>
                <w:szCs w:val="21"/>
                <w:u w:val="none"/>
                <w:lang w:val="en-US" w:eastAsia="zh-CN" w:bidi="ar"/>
              </w:rPr>
              <w:t>）</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19" w:hRule="atLeast"/>
        </w:trPr>
        <w:tc>
          <w:tcPr>
            <w:tcW w:w="1108"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19" w:hRule="atLeast"/>
        </w:trPr>
        <w:tc>
          <w:tcPr>
            <w:tcW w:w="1108"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标段11</w:t>
            </w:r>
          </w:p>
        </w:tc>
        <w:tc>
          <w:tcPr>
            <w:tcW w:w="376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优特钢保护渣（</w:t>
            </w:r>
            <w:r>
              <w:rPr>
                <w:rFonts w:hint="eastAsia" w:ascii="宋体" w:hAnsi="宋体" w:cs="宋体"/>
                <w:b/>
                <w:i w:val="0"/>
                <w:color w:val="000000"/>
                <w:kern w:val="0"/>
                <w:sz w:val="21"/>
                <w:szCs w:val="21"/>
                <w:u w:val="none"/>
                <w:lang w:val="en-US" w:eastAsia="zh-CN" w:bidi="ar"/>
              </w:rPr>
              <w:t>38CrMoAl</w:t>
            </w:r>
            <w:r>
              <w:rPr>
                <w:rFonts w:hint="eastAsia" w:ascii="宋体" w:hAnsi="宋体" w:eastAsia="宋体" w:cs="宋体"/>
                <w:b/>
                <w:i w:val="0"/>
                <w:color w:val="000000"/>
                <w:kern w:val="0"/>
                <w:sz w:val="21"/>
                <w:szCs w:val="21"/>
                <w:u w:val="none"/>
                <w:lang w:val="en-US" w:eastAsia="zh-CN" w:bidi="ar"/>
              </w:rPr>
              <w:t>）</w:t>
            </w:r>
          </w:p>
        </w:tc>
        <w:tc>
          <w:tcPr>
            <w:tcW w:w="3494"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w:t>
            </w:r>
          </w:p>
        </w:tc>
        <w:tc>
          <w:tcPr>
            <w:tcW w:w="171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439" w:hRule="atLeast"/>
        </w:trPr>
        <w:tc>
          <w:tcPr>
            <w:tcW w:w="1108" w:type="dxa"/>
            <w:vMerge w:val="continue"/>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3763" w:type="dxa"/>
            <w:vMerge w:val="continue"/>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3494" w:type="dxa"/>
            <w:tcBorders>
              <w:top w:val="nil"/>
              <w:left w:val="nil"/>
              <w:bottom w:val="single" w:color="auto" w:sz="4" w:space="0"/>
              <w:right w:val="single" w:color="000000" w:sz="8"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大写：</w:t>
            </w:r>
          </w:p>
        </w:tc>
        <w:tc>
          <w:tcPr>
            <w:tcW w:w="1713" w:type="dxa"/>
            <w:vMerge w:val="continue"/>
            <w:tcBorders>
              <w:top w:val="nil"/>
              <w:left w:val="nil"/>
              <w:bottom w:val="single" w:color="auto" w:sz="4" w:space="0"/>
              <w:right w:val="single" w:color="000000" w:sz="8" w:space="0"/>
            </w:tcBorders>
            <w:shd w:val="clear" w:color="auto" w:fill="auto"/>
            <w:tcMar>
              <w:top w:w="15" w:type="dxa"/>
              <w:left w:w="15" w:type="dxa"/>
              <w:right w:w="15" w:type="dxa"/>
            </w:tcMar>
            <w:vAlign w:val="top"/>
          </w:tcPr>
          <w:p>
            <w:pPr>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39" w:hRule="atLeast"/>
        </w:trPr>
        <w:tc>
          <w:tcPr>
            <w:tcW w:w="1007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1"/>
                <w:szCs w:val="21"/>
                <w:u w:val="none"/>
              </w:rPr>
            </w:pPr>
            <w:r>
              <w:rPr>
                <w:rFonts w:hint="eastAsia"/>
                <w:sz w:val="24"/>
                <w:szCs w:val="24"/>
              </w:rPr>
              <w:t>备注: 以上报价含税、含运费，一票制，税率为13%。</w:t>
            </w:r>
          </w:p>
        </w:tc>
      </w:tr>
      <w:tr>
        <w:tblPrEx>
          <w:tblCellMar>
            <w:top w:w="0" w:type="dxa"/>
            <w:left w:w="0" w:type="dxa"/>
            <w:bottom w:w="0" w:type="dxa"/>
            <w:right w:w="0" w:type="dxa"/>
          </w:tblCellMar>
        </w:tblPrEx>
        <w:trPr>
          <w:trHeight w:val="439" w:hRule="atLeast"/>
        </w:trPr>
        <w:tc>
          <w:tcPr>
            <w:tcW w:w="1007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r>
              <w:rPr>
                <w:rFonts w:hint="eastAsia"/>
                <w:sz w:val="24"/>
                <w:szCs w:val="24"/>
              </w:rPr>
              <w:t>投标单位名称：</w:t>
            </w:r>
          </w:p>
        </w:tc>
      </w:tr>
      <w:tr>
        <w:tblPrEx>
          <w:tblCellMar>
            <w:top w:w="0" w:type="dxa"/>
            <w:left w:w="0" w:type="dxa"/>
            <w:bottom w:w="0" w:type="dxa"/>
            <w:right w:w="0" w:type="dxa"/>
          </w:tblCellMar>
        </w:tblPrEx>
        <w:trPr>
          <w:trHeight w:val="439" w:hRule="atLeast"/>
        </w:trPr>
        <w:tc>
          <w:tcPr>
            <w:tcW w:w="1007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r>
              <w:rPr>
                <w:rFonts w:hint="eastAsia"/>
                <w:sz w:val="24"/>
                <w:szCs w:val="24"/>
              </w:rPr>
              <w:t>投标单位公章：</w:t>
            </w:r>
          </w:p>
        </w:tc>
      </w:tr>
      <w:tr>
        <w:tblPrEx>
          <w:tblCellMar>
            <w:top w:w="0" w:type="dxa"/>
            <w:left w:w="0" w:type="dxa"/>
            <w:bottom w:w="0" w:type="dxa"/>
            <w:right w:w="0" w:type="dxa"/>
          </w:tblCellMar>
        </w:tblPrEx>
        <w:trPr>
          <w:trHeight w:val="439" w:hRule="atLeast"/>
        </w:trPr>
        <w:tc>
          <w:tcPr>
            <w:tcW w:w="1007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r>
              <w:rPr>
                <w:rFonts w:hint="eastAsia"/>
                <w:sz w:val="24"/>
                <w:szCs w:val="24"/>
              </w:rPr>
              <w:t>日期：</w:t>
            </w:r>
          </w:p>
        </w:tc>
      </w:tr>
    </w:tbl>
    <w:p>
      <w:pPr>
        <w:jc w:val="center"/>
        <w:rPr>
          <w:rFonts w:ascii="宋体" w:hAnsi="宋体"/>
          <w:sz w:val="44"/>
          <w:szCs w:val="44"/>
        </w:rPr>
      </w:pPr>
      <w:r>
        <w:rPr>
          <w:rFonts w:hint="eastAsia" w:ascii="宋体" w:hAnsi="宋体"/>
          <w:sz w:val="44"/>
          <w:szCs w:val="44"/>
        </w:rPr>
        <w:t>报价统一格式</w:t>
      </w: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358"/>
      </w:pPr>
      <w:rPr>
        <w:rFonts w:hint="default"/>
        <w:b/>
        <w:bCs/>
        <w:color w:val="FF0000"/>
      </w:r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31406E"/>
    <w:rsid w:val="083A4C2B"/>
    <w:rsid w:val="085B58B3"/>
    <w:rsid w:val="08A96692"/>
    <w:rsid w:val="090510CD"/>
    <w:rsid w:val="090F2391"/>
    <w:rsid w:val="097B7AE5"/>
    <w:rsid w:val="0AF63A42"/>
    <w:rsid w:val="0B106156"/>
    <w:rsid w:val="0B5E1A54"/>
    <w:rsid w:val="0BFF25BD"/>
    <w:rsid w:val="0C0133DC"/>
    <w:rsid w:val="0CBC295F"/>
    <w:rsid w:val="0D2F279C"/>
    <w:rsid w:val="0DCC0A80"/>
    <w:rsid w:val="0DF07D84"/>
    <w:rsid w:val="0E497616"/>
    <w:rsid w:val="0E842CB1"/>
    <w:rsid w:val="0EEB0BB2"/>
    <w:rsid w:val="0F0803D8"/>
    <w:rsid w:val="0F347211"/>
    <w:rsid w:val="0FA76F34"/>
    <w:rsid w:val="0FE62EDB"/>
    <w:rsid w:val="10031B51"/>
    <w:rsid w:val="10094A89"/>
    <w:rsid w:val="10CA64E1"/>
    <w:rsid w:val="110928F7"/>
    <w:rsid w:val="11263CB2"/>
    <w:rsid w:val="11654D47"/>
    <w:rsid w:val="11BA6270"/>
    <w:rsid w:val="12623A3F"/>
    <w:rsid w:val="127D1B7B"/>
    <w:rsid w:val="135C10D5"/>
    <w:rsid w:val="139F3DA1"/>
    <w:rsid w:val="13D576D7"/>
    <w:rsid w:val="14772C2B"/>
    <w:rsid w:val="14881933"/>
    <w:rsid w:val="14F3071A"/>
    <w:rsid w:val="154D48F1"/>
    <w:rsid w:val="157A666B"/>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BF731FE"/>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AD95453"/>
    <w:rsid w:val="2BBB5AD5"/>
    <w:rsid w:val="2BF10F3E"/>
    <w:rsid w:val="2BF40243"/>
    <w:rsid w:val="2BFD06EE"/>
    <w:rsid w:val="2C204052"/>
    <w:rsid w:val="2C4E01C4"/>
    <w:rsid w:val="2CF31D5E"/>
    <w:rsid w:val="2E3D1B0F"/>
    <w:rsid w:val="2EA431DB"/>
    <w:rsid w:val="2EDD294B"/>
    <w:rsid w:val="2F163A70"/>
    <w:rsid w:val="302E15AB"/>
    <w:rsid w:val="3036622A"/>
    <w:rsid w:val="30474844"/>
    <w:rsid w:val="306A4E46"/>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3E2980"/>
    <w:rsid w:val="384A1E85"/>
    <w:rsid w:val="387F2F2C"/>
    <w:rsid w:val="398F1902"/>
    <w:rsid w:val="3A3F65BD"/>
    <w:rsid w:val="3A773720"/>
    <w:rsid w:val="3AB9612A"/>
    <w:rsid w:val="3AFC391A"/>
    <w:rsid w:val="3B14535E"/>
    <w:rsid w:val="3C036E6F"/>
    <w:rsid w:val="3C3E683E"/>
    <w:rsid w:val="3C456A69"/>
    <w:rsid w:val="3C487023"/>
    <w:rsid w:val="3C887586"/>
    <w:rsid w:val="3CB756C8"/>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0F46E6"/>
    <w:rsid w:val="41394D83"/>
    <w:rsid w:val="41803823"/>
    <w:rsid w:val="419E3A51"/>
    <w:rsid w:val="41A706B0"/>
    <w:rsid w:val="41BF02F4"/>
    <w:rsid w:val="422E1FDF"/>
    <w:rsid w:val="423C71D1"/>
    <w:rsid w:val="426213B7"/>
    <w:rsid w:val="42CE1EFE"/>
    <w:rsid w:val="435C1211"/>
    <w:rsid w:val="43B41C8B"/>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C66F68"/>
    <w:rsid w:val="4E091027"/>
    <w:rsid w:val="4E1D39CD"/>
    <w:rsid w:val="4ED37EC9"/>
    <w:rsid w:val="4F8C6F78"/>
    <w:rsid w:val="510A2956"/>
    <w:rsid w:val="514F2EE0"/>
    <w:rsid w:val="517F329F"/>
    <w:rsid w:val="51A458AF"/>
    <w:rsid w:val="51CD60D0"/>
    <w:rsid w:val="527F49C8"/>
    <w:rsid w:val="52D332CB"/>
    <w:rsid w:val="52E54E97"/>
    <w:rsid w:val="52EE0AE7"/>
    <w:rsid w:val="536967A8"/>
    <w:rsid w:val="53AB6FFE"/>
    <w:rsid w:val="5403556E"/>
    <w:rsid w:val="54664C18"/>
    <w:rsid w:val="54E217E5"/>
    <w:rsid w:val="554C057B"/>
    <w:rsid w:val="56065626"/>
    <w:rsid w:val="562E1D47"/>
    <w:rsid w:val="566E6D8E"/>
    <w:rsid w:val="56B606CC"/>
    <w:rsid w:val="56FF0A43"/>
    <w:rsid w:val="5799081B"/>
    <w:rsid w:val="57AC75B3"/>
    <w:rsid w:val="57D705F2"/>
    <w:rsid w:val="57EA4190"/>
    <w:rsid w:val="59677D4F"/>
    <w:rsid w:val="598A03E4"/>
    <w:rsid w:val="59A57A14"/>
    <w:rsid w:val="5AAF6E02"/>
    <w:rsid w:val="5AEA3AD0"/>
    <w:rsid w:val="5B1D2529"/>
    <w:rsid w:val="5B35349E"/>
    <w:rsid w:val="5B3F7D83"/>
    <w:rsid w:val="5B527398"/>
    <w:rsid w:val="5BA959B9"/>
    <w:rsid w:val="5C2447C0"/>
    <w:rsid w:val="5CC70FAC"/>
    <w:rsid w:val="5D173705"/>
    <w:rsid w:val="5D1B4B8A"/>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8CD03D6"/>
    <w:rsid w:val="695E0A51"/>
    <w:rsid w:val="6AE713EB"/>
    <w:rsid w:val="6B015D37"/>
    <w:rsid w:val="6B8D7C67"/>
    <w:rsid w:val="6B9014C7"/>
    <w:rsid w:val="6BB3784E"/>
    <w:rsid w:val="6BE11085"/>
    <w:rsid w:val="6C7B13C4"/>
    <w:rsid w:val="6C7F53F5"/>
    <w:rsid w:val="6CA73029"/>
    <w:rsid w:val="6CB25A7F"/>
    <w:rsid w:val="6D027CD6"/>
    <w:rsid w:val="6DD71BCE"/>
    <w:rsid w:val="6E3164EF"/>
    <w:rsid w:val="6E487B66"/>
    <w:rsid w:val="6E550ED4"/>
    <w:rsid w:val="6EA5652C"/>
    <w:rsid w:val="6ECD772E"/>
    <w:rsid w:val="6ED71557"/>
    <w:rsid w:val="6F0C38CA"/>
    <w:rsid w:val="6F6774FE"/>
    <w:rsid w:val="6F890E5E"/>
    <w:rsid w:val="70243E6C"/>
    <w:rsid w:val="702A748A"/>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0202CB"/>
    <w:rsid w:val="7B386B42"/>
    <w:rsid w:val="7B5C145D"/>
    <w:rsid w:val="7BB57665"/>
    <w:rsid w:val="7BBC102F"/>
    <w:rsid w:val="7BD509C2"/>
    <w:rsid w:val="7BDC0741"/>
    <w:rsid w:val="7C070CDC"/>
    <w:rsid w:val="7C9625E2"/>
    <w:rsid w:val="7D0716F9"/>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3</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2021-09-10T01:26:00Z</cp:lastPrinted>
  <dcterms:modified xsi:type="dcterms:W3CDTF">2021-11-17T07:32:08Z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