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宋体" w:hAnsi="宋体" w:eastAsia="宋体" w:cs="宋体"/>
          <w:b/>
          <w:bCs/>
          <w:sz w:val="48"/>
          <w:szCs w:val="48"/>
        </w:rPr>
      </w:pPr>
      <w:r>
        <w:rPr>
          <w:rFonts w:hint="eastAsia" w:ascii="宋体" w:hAnsi="宋体" w:eastAsia="宋体" w:cs="宋体"/>
          <w:b/>
          <w:bCs/>
          <w:sz w:val="48"/>
          <w:szCs w:val="48"/>
        </w:rPr>
        <w:t>芜湖新兴铸管有限责任公司</w:t>
      </w:r>
    </w:p>
    <w:p>
      <w:pPr>
        <w:spacing w:after="0" w:line="360" w:lineRule="auto"/>
        <w:jc w:val="both"/>
        <w:rPr>
          <w:rFonts w:ascii="宋体" w:hAnsi="宋体" w:eastAsia="宋体" w:cs="宋体"/>
          <w:b/>
          <w:bCs/>
          <w:sz w:val="52"/>
          <w:szCs w:val="52"/>
        </w:rPr>
      </w:pPr>
    </w:p>
    <w:p>
      <w:pPr>
        <w:spacing w:after="0" w:line="360" w:lineRule="auto"/>
        <w:jc w:val="center"/>
        <w:rPr>
          <w:rFonts w:ascii="宋体" w:hAnsi="宋体" w:eastAsia="宋体"/>
          <w:b/>
          <w:bCs/>
          <w:sz w:val="48"/>
          <w:szCs w:val="48"/>
        </w:rPr>
      </w:pPr>
      <w:r>
        <w:rPr>
          <w:rFonts w:hint="eastAsia" w:ascii="宋体" w:hAnsi="宋体" w:eastAsia="宋体"/>
          <w:b/>
          <w:sz w:val="48"/>
          <w:szCs w:val="48"/>
          <w:lang w:eastAsia="zh-CN"/>
        </w:rPr>
        <w:t>干熄焦放散</w:t>
      </w:r>
      <w:r>
        <w:rPr>
          <w:rFonts w:hint="eastAsia" w:ascii="宋体" w:hAnsi="宋体" w:eastAsia="宋体"/>
          <w:b/>
          <w:sz w:val="48"/>
          <w:szCs w:val="48"/>
        </w:rPr>
        <w:t>气脱硫系统</w:t>
      </w:r>
    </w:p>
    <w:p>
      <w:pPr>
        <w:spacing w:after="0" w:line="360" w:lineRule="auto"/>
        <w:jc w:val="center"/>
        <w:rPr>
          <w:rFonts w:ascii="宋体" w:hAnsi="宋体" w:eastAsia="宋体" w:cs="宋体"/>
          <w:b/>
          <w:bCs/>
          <w:sz w:val="48"/>
          <w:szCs w:val="48"/>
        </w:rPr>
      </w:pPr>
    </w:p>
    <w:p>
      <w:pPr>
        <w:spacing w:after="0" w:line="360" w:lineRule="auto"/>
        <w:jc w:val="center"/>
        <w:rPr>
          <w:rFonts w:ascii="宋体" w:hAnsi="宋体" w:eastAsia="宋体" w:cs="宋体"/>
          <w:b/>
          <w:bCs/>
          <w:sz w:val="48"/>
          <w:szCs w:val="48"/>
        </w:rPr>
      </w:pP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技</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术</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规</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格</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书</w:t>
      </w:r>
    </w:p>
    <w:p>
      <w:pPr>
        <w:spacing w:after="0" w:line="360" w:lineRule="auto"/>
        <w:rPr>
          <w:rFonts w:ascii="宋体" w:hAnsi="宋体" w:eastAsia="宋体" w:cs="宋体"/>
          <w:b/>
          <w:bCs/>
          <w:sz w:val="52"/>
          <w:szCs w:val="52"/>
        </w:rPr>
      </w:pPr>
    </w:p>
    <w:p>
      <w:pPr>
        <w:spacing w:after="0" w:line="360" w:lineRule="auto"/>
        <w:rPr>
          <w:rFonts w:ascii="宋体" w:hAnsi="宋体" w:eastAsia="宋体" w:cs="宋体"/>
          <w:b/>
          <w:bCs/>
          <w:sz w:val="52"/>
          <w:szCs w:val="52"/>
        </w:rPr>
      </w:pPr>
    </w:p>
    <w:p>
      <w:pPr>
        <w:spacing w:after="0" w:line="360" w:lineRule="auto"/>
        <w:ind w:left="-220" w:leftChars="-100"/>
        <w:jc w:val="center"/>
        <w:rPr>
          <w:rFonts w:ascii="宋体" w:hAnsi="宋体" w:eastAsia="宋体" w:cs="宋体"/>
          <w:b/>
          <w:bCs/>
          <w:sz w:val="32"/>
          <w:szCs w:val="32"/>
        </w:rPr>
      </w:pPr>
      <w:r>
        <w:rPr>
          <w:rFonts w:hint="eastAsia" w:ascii="宋体" w:hAnsi="宋体" w:eastAsia="宋体" w:cs="宋体"/>
          <w:b/>
          <w:bCs/>
          <w:sz w:val="32"/>
          <w:szCs w:val="32"/>
        </w:rPr>
        <w:t>编制：     审核：     会签：     项目负责：     批准</w:t>
      </w:r>
      <w:bookmarkStart w:id="0" w:name="OLE_LINK1"/>
      <w:bookmarkEnd w:id="0"/>
      <w:bookmarkStart w:id="1" w:name="OLE_LINK2"/>
      <w:bookmarkEnd w:id="1"/>
      <w:bookmarkStart w:id="2" w:name="OLE_LINK3"/>
      <w:bookmarkEnd w:id="2"/>
      <w:r>
        <w:rPr>
          <w:rFonts w:hint="eastAsia" w:ascii="宋体" w:hAnsi="宋体" w:eastAsia="宋体" w:cs="宋体"/>
          <w:b/>
          <w:bCs/>
          <w:sz w:val="32"/>
          <w:szCs w:val="32"/>
        </w:rPr>
        <w:t>:</w:t>
      </w:r>
    </w:p>
    <w:p>
      <w:pPr>
        <w:spacing w:after="0" w:line="360" w:lineRule="auto"/>
        <w:ind w:left="-220" w:leftChars="-100"/>
        <w:jc w:val="center"/>
        <w:rPr>
          <w:rFonts w:ascii="宋体" w:hAnsi="宋体" w:eastAsia="宋体" w:cs="宋体"/>
          <w:b/>
          <w:bCs/>
          <w:sz w:val="32"/>
          <w:szCs w:val="32"/>
        </w:rPr>
      </w:pPr>
      <w:r>
        <w:rPr>
          <w:rFonts w:hint="eastAsia" w:ascii="宋体" w:hAnsi="宋体" w:eastAsia="宋体" w:cs="宋体"/>
          <w:b/>
          <w:bCs/>
          <w:sz w:val="32"/>
          <w:szCs w:val="32"/>
        </w:rPr>
        <w:t>2021年</w:t>
      </w:r>
      <w:r>
        <w:rPr>
          <w:rFonts w:hint="eastAsia" w:ascii="宋体" w:hAnsi="宋体" w:eastAsia="宋体" w:cs="宋体"/>
          <w:b/>
          <w:bCs/>
          <w:sz w:val="32"/>
          <w:szCs w:val="32"/>
          <w:lang w:val="en-US" w:eastAsia="zh-CN"/>
        </w:rPr>
        <w:t>12</w:t>
      </w:r>
      <w:r>
        <w:rPr>
          <w:rFonts w:hint="eastAsia" w:ascii="宋体" w:hAnsi="宋体" w:eastAsia="宋体" w:cs="宋体"/>
          <w:b/>
          <w:bCs/>
          <w:sz w:val="32"/>
          <w:szCs w:val="32"/>
        </w:rPr>
        <w:t>月</w:t>
      </w:r>
    </w:p>
    <w:p>
      <w:pPr>
        <w:tabs>
          <w:tab w:val="left" w:pos="2992"/>
          <w:tab w:val="center" w:pos="4214"/>
        </w:tabs>
        <w:spacing w:after="0" w:line="360" w:lineRule="auto"/>
        <w:jc w:val="center"/>
        <w:rPr>
          <w:rFonts w:ascii="宋体" w:hAnsi="宋体" w:eastAsia="宋体" w:cs="宋体"/>
          <w:b/>
          <w:bCs/>
          <w:sz w:val="28"/>
          <w:szCs w:val="28"/>
        </w:rPr>
      </w:pPr>
      <w:r>
        <w:rPr>
          <w:rFonts w:hint="eastAsia" w:ascii="宋体" w:hAnsi="宋体" w:eastAsia="宋体" w:cs="宋体"/>
          <w:b/>
          <w:bCs/>
          <w:sz w:val="28"/>
          <w:szCs w:val="28"/>
        </w:rPr>
        <w:t>安徽·芜湖</w:t>
      </w:r>
    </w:p>
    <w:p>
      <w:pPr>
        <w:spacing w:after="0" w:line="360" w:lineRule="auto"/>
        <w:jc w:val="both"/>
        <w:rPr>
          <w:rFonts w:ascii="宋体" w:hAnsi="宋体" w:eastAsia="宋体"/>
          <w:b/>
          <w:spacing w:val="10"/>
          <w:sz w:val="24"/>
        </w:rPr>
      </w:pPr>
      <w:r>
        <w:rPr>
          <w:rFonts w:ascii="宋体" w:hAnsi="宋体" w:eastAsia="宋体"/>
          <w:b/>
          <w:bCs/>
          <w:sz w:val="24"/>
        </w:rPr>
        <w:br w:type="column"/>
      </w:r>
      <w:r>
        <w:rPr>
          <w:rFonts w:hint="eastAsia" w:ascii="宋体" w:hAnsi="宋体" w:eastAsia="宋体"/>
          <w:b/>
          <w:bCs/>
          <w:sz w:val="24"/>
        </w:rPr>
        <w:t>一、总则</w:t>
      </w:r>
    </w:p>
    <w:p>
      <w:pPr>
        <w:pStyle w:val="10"/>
        <w:tabs>
          <w:tab w:val="left" w:pos="525"/>
        </w:tabs>
        <w:spacing w:before="0" w:line="360" w:lineRule="auto"/>
        <w:rPr>
          <w:rFonts w:ascii="宋体" w:hAnsi="宋体" w:cs="宋体"/>
          <w:kern w:val="2"/>
        </w:rPr>
      </w:pPr>
      <w:r>
        <w:rPr>
          <w:rFonts w:hint="eastAsia" w:ascii="宋体" w:hAnsi="宋体" w:cs="宋体"/>
          <w:kern w:val="2"/>
        </w:rPr>
        <w:t>1.1本技术文件适用于芜湖新兴铸管有限责任公司铁前</w:t>
      </w:r>
      <w:r>
        <w:rPr>
          <w:rFonts w:hint="eastAsia" w:ascii="宋体" w:hAnsi="宋体" w:cs="宋体"/>
          <w:kern w:val="2"/>
          <w:lang w:eastAsia="zh-CN"/>
        </w:rPr>
        <w:t>事业</w:t>
      </w:r>
      <w:r>
        <w:rPr>
          <w:rFonts w:hint="eastAsia" w:ascii="宋体" w:hAnsi="宋体" w:cs="宋体"/>
          <w:kern w:val="2"/>
        </w:rPr>
        <w:t>部</w:t>
      </w:r>
      <w:r>
        <w:rPr>
          <w:rFonts w:hint="eastAsia" w:ascii="宋体" w:hAnsi="宋体" w:cs="宋体"/>
          <w:kern w:val="2"/>
          <w:lang w:eastAsia="zh-CN"/>
        </w:rPr>
        <w:t>焦化干熄焦放散</w:t>
      </w:r>
      <w:r>
        <w:rPr>
          <w:rFonts w:hint="eastAsia" w:ascii="宋体" w:hAnsi="宋体" w:cs="宋体"/>
          <w:kern w:val="2"/>
        </w:rPr>
        <w:t>气脱硫系统项目。</w:t>
      </w:r>
    </w:p>
    <w:p>
      <w:pPr>
        <w:pStyle w:val="10"/>
        <w:tabs>
          <w:tab w:val="left" w:pos="0"/>
        </w:tabs>
        <w:spacing w:before="0" w:line="360" w:lineRule="auto"/>
        <w:rPr>
          <w:rFonts w:ascii="宋体" w:hAnsi="宋体" w:cs="宋体"/>
          <w:kern w:val="2"/>
        </w:rPr>
      </w:pPr>
      <w:r>
        <w:rPr>
          <w:rFonts w:hint="eastAsia" w:ascii="宋体" w:hAnsi="宋体" w:cs="宋体"/>
          <w:kern w:val="2"/>
        </w:rPr>
        <w:t>1.2本技术文件提出了芜湖新兴铸管有限责任公司铁前</w:t>
      </w:r>
      <w:r>
        <w:rPr>
          <w:rFonts w:hint="eastAsia" w:ascii="宋体" w:hAnsi="宋体" w:cs="宋体"/>
          <w:kern w:val="2"/>
          <w:lang w:eastAsia="zh-CN"/>
        </w:rPr>
        <w:t>事业</w:t>
      </w:r>
      <w:r>
        <w:rPr>
          <w:rFonts w:hint="eastAsia" w:ascii="宋体" w:hAnsi="宋体" w:cs="宋体"/>
          <w:kern w:val="2"/>
        </w:rPr>
        <w:t>部</w:t>
      </w:r>
      <w:r>
        <w:rPr>
          <w:rFonts w:hint="eastAsia" w:ascii="宋体" w:hAnsi="宋体" w:cs="宋体"/>
          <w:kern w:val="2"/>
          <w:lang w:eastAsia="zh-CN"/>
        </w:rPr>
        <w:t>焦化干熄焦放散</w:t>
      </w:r>
      <w:r>
        <w:rPr>
          <w:rFonts w:hint="eastAsia" w:ascii="宋体" w:hAnsi="宋体" w:cs="宋体"/>
          <w:kern w:val="2"/>
        </w:rPr>
        <w:t>气脱硫系统项目的相关技术要求。设备的</w:t>
      </w:r>
      <w:r>
        <w:rPr>
          <w:rFonts w:hint="eastAsia" w:ascii="宋体" w:hAnsi="宋体" w:cs="宋体"/>
          <w:kern w:val="2"/>
          <w:lang w:eastAsia="zh-CN"/>
        </w:rPr>
        <w:t>制作</w:t>
      </w:r>
      <w:r>
        <w:rPr>
          <w:rFonts w:hint="eastAsia" w:ascii="宋体" w:hAnsi="宋体" w:cs="宋体"/>
          <w:kern w:val="2"/>
        </w:rPr>
        <w:t>、供货、安装、调试等方面工作均由投标方完成。</w:t>
      </w:r>
    </w:p>
    <w:p>
      <w:pPr>
        <w:pStyle w:val="10"/>
        <w:tabs>
          <w:tab w:val="left" w:pos="0"/>
        </w:tabs>
        <w:spacing w:before="0" w:line="360" w:lineRule="auto"/>
        <w:rPr>
          <w:rFonts w:ascii="宋体" w:hAnsi="宋体" w:cs="宋体"/>
          <w:kern w:val="2"/>
        </w:rPr>
      </w:pPr>
      <w:r>
        <w:rPr>
          <w:rFonts w:hint="eastAsia" w:ascii="宋体" w:hAnsi="宋体" w:cs="宋体"/>
          <w:kern w:val="2"/>
        </w:rPr>
        <w:t>1.3本技术文提出的是最低限度的技术要求，并未对一切技术细节作出规定，也未充分引述有关标准和规范的条文，投标方应提供符合本技术文件和有关工业标准的优质产品。对国家有关安全、环保等强制性标准，必须满足其要求。</w:t>
      </w:r>
    </w:p>
    <w:p>
      <w:pPr>
        <w:pStyle w:val="10"/>
        <w:tabs>
          <w:tab w:val="left" w:pos="0"/>
        </w:tabs>
        <w:spacing w:before="0" w:line="360" w:lineRule="auto"/>
        <w:rPr>
          <w:rFonts w:ascii="宋体" w:hAnsi="宋体" w:cs="宋体"/>
          <w:kern w:val="2"/>
        </w:rPr>
      </w:pPr>
      <w:r>
        <w:rPr>
          <w:rFonts w:hint="eastAsia" w:ascii="宋体" w:hAnsi="宋体" w:cs="宋体"/>
          <w:kern w:val="2"/>
        </w:rPr>
        <w:t>1.4如果投标方没有以书面形式对本技术文件的条文提出异议，则意味着投标方提供的设备完全符合本技术文件的要求。如有异议，应在投标书中以“对技术文件的意见和同技术文件的差异”为标题的专门章节中加以详细描述。</w:t>
      </w:r>
    </w:p>
    <w:p>
      <w:pPr>
        <w:pStyle w:val="10"/>
        <w:tabs>
          <w:tab w:val="left" w:pos="0"/>
        </w:tabs>
        <w:spacing w:before="0" w:line="360" w:lineRule="auto"/>
        <w:rPr>
          <w:rFonts w:ascii="宋体" w:hAnsi="宋体" w:cs="宋体"/>
          <w:kern w:val="2"/>
        </w:rPr>
      </w:pPr>
      <w:r>
        <w:rPr>
          <w:rFonts w:hint="eastAsia" w:ascii="宋体" w:hAnsi="宋体" w:cs="宋体"/>
          <w:kern w:val="2"/>
        </w:rPr>
        <w:t>1.5本技术文件所使用的标准，如与投标方所执行的标准不一致时，按较高的标准执行。如果本技术文件与现行使用的有关国家标准以及颁布标准有明显抵触的条文，投标方应及时书面通知招标方进行解决。</w:t>
      </w:r>
    </w:p>
    <w:p>
      <w:pPr>
        <w:pStyle w:val="10"/>
        <w:tabs>
          <w:tab w:val="left" w:pos="0"/>
        </w:tabs>
        <w:spacing w:before="0" w:line="360" w:lineRule="auto"/>
        <w:rPr>
          <w:rFonts w:ascii="宋体" w:hAnsi="宋体" w:cs="宋体"/>
          <w:kern w:val="2"/>
        </w:rPr>
      </w:pPr>
      <w:bookmarkStart w:id="3" w:name="_Toc535052067"/>
      <w:r>
        <w:rPr>
          <w:rFonts w:hint="eastAsia" w:ascii="宋体" w:hAnsi="宋体" w:cs="宋体"/>
          <w:kern w:val="2"/>
        </w:rPr>
        <w:t>1.6</w:t>
      </w:r>
      <w:bookmarkEnd w:id="3"/>
      <w:r>
        <w:rPr>
          <w:rFonts w:hint="eastAsia" w:ascii="宋体" w:hAnsi="宋体" w:cs="宋体"/>
          <w:kern w:val="2"/>
        </w:rPr>
        <w:t>投标方应提供高质量的设备，这些设备是成熟可靠、技术先进的，投标方具有设备制造、运行成功的经验，提供相关产品鉴定证书。</w:t>
      </w:r>
    </w:p>
    <w:p>
      <w:pPr>
        <w:pStyle w:val="10"/>
        <w:tabs>
          <w:tab w:val="left" w:pos="0"/>
        </w:tabs>
        <w:spacing w:before="0" w:line="360" w:lineRule="auto"/>
        <w:rPr>
          <w:rFonts w:ascii="宋体" w:hAnsi="宋体" w:cs="宋体"/>
          <w:kern w:val="2"/>
        </w:rPr>
      </w:pPr>
      <w:r>
        <w:rPr>
          <w:rFonts w:hint="eastAsia" w:ascii="宋体" w:hAnsi="宋体" w:cs="宋体"/>
          <w:kern w:val="2"/>
        </w:rPr>
        <w:t>1.7投标方应保证所供设备的完整性、安全性。</w:t>
      </w:r>
    </w:p>
    <w:p>
      <w:pPr>
        <w:pStyle w:val="10"/>
        <w:tabs>
          <w:tab w:val="left" w:pos="0"/>
        </w:tabs>
        <w:spacing w:before="0" w:line="360" w:lineRule="auto"/>
        <w:rPr>
          <w:rFonts w:ascii="宋体" w:hAnsi="宋体" w:cs="宋体"/>
          <w:kern w:val="2"/>
        </w:rPr>
      </w:pPr>
      <w:r>
        <w:rPr>
          <w:rFonts w:hint="eastAsia" w:ascii="宋体" w:hAnsi="宋体" w:cs="宋体"/>
          <w:kern w:val="2"/>
        </w:rPr>
        <w:t>1.8现场施工的安全管理、标准化作业、文明生产必须执行招标方的相关管理制度。</w:t>
      </w:r>
    </w:p>
    <w:p>
      <w:pPr>
        <w:tabs>
          <w:tab w:val="left" w:pos="2992"/>
          <w:tab w:val="center" w:pos="4214"/>
        </w:tabs>
        <w:spacing w:after="0" w:line="360" w:lineRule="auto"/>
        <w:jc w:val="both"/>
        <w:rPr>
          <w:rFonts w:hint="eastAsia" w:ascii="宋体" w:hAnsi="宋体" w:eastAsia="宋体" w:cs="宋体"/>
          <w:kern w:val="2"/>
          <w:sz w:val="24"/>
        </w:rPr>
      </w:pPr>
      <w:r>
        <w:rPr>
          <w:rFonts w:hint="eastAsia" w:ascii="宋体" w:hAnsi="宋体" w:eastAsia="宋体" w:cs="宋体"/>
          <w:kern w:val="2"/>
          <w:sz w:val="24"/>
        </w:rPr>
        <w:t>1.9设备采用的技术不得涉及他人的专利，所有专利涉及到的全部费用均已包含在设备报价中，投标方保证招标方不承担有关设备专利的一切责任。</w:t>
      </w:r>
    </w:p>
    <w:p>
      <w:pPr>
        <w:pStyle w:val="13"/>
        <w:numPr>
          <w:ilvl w:val="0"/>
          <w:numId w:val="0"/>
        </w:numPr>
        <w:tabs>
          <w:tab w:val="left" w:pos="0"/>
        </w:tabs>
        <w:spacing w:line="360" w:lineRule="auto"/>
        <w:ind w:leftChars="0"/>
        <w:rPr>
          <w:rFonts w:ascii="宋体" w:hAnsi="宋体" w:eastAsia="宋体"/>
          <w:b/>
          <w:bCs/>
          <w:color w:val="000000"/>
          <w:sz w:val="24"/>
          <w:szCs w:val="24"/>
        </w:rPr>
      </w:pPr>
      <w:r>
        <w:rPr>
          <w:rFonts w:hint="eastAsia" w:ascii="宋体" w:hAnsi="宋体" w:eastAsia="宋体" w:cs="宋体"/>
          <w:kern w:val="2"/>
          <w:sz w:val="24"/>
          <w:lang w:val="en-US" w:eastAsia="zh-CN"/>
        </w:rPr>
        <w:t>1.10现场</w:t>
      </w:r>
      <w:r>
        <w:rPr>
          <w:rFonts w:hint="eastAsia" w:ascii="宋体" w:hAnsi="宋体" w:eastAsia="宋体" w:cs="宋体"/>
          <w:kern w:val="2"/>
          <w:sz w:val="24"/>
          <w:szCs w:val="22"/>
          <w:lang w:val="en-US" w:eastAsia="zh-CN" w:bidi="ar-SA"/>
        </w:rPr>
        <w:t>详细尺寸由投标人自行踏勘、测量，由此造成的一切后果由投标人自行承担。</w:t>
      </w:r>
    </w:p>
    <w:p>
      <w:pPr>
        <w:spacing w:after="0" w:line="360" w:lineRule="auto"/>
        <w:jc w:val="both"/>
        <w:rPr>
          <w:rFonts w:ascii="宋体" w:hAnsi="宋体" w:eastAsia="宋体"/>
          <w:b/>
          <w:bCs/>
          <w:color w:val="000000"/>
          <w:sz w:val="24"/>
          <w:szCs w:val="24"/>
        </w:rPr>
      </w:pPr>
      <w:r>
        <w:rPr>
          <w:rFonts w:hint="eastAsia" w:ascii="宋体" w:hAnsi="宋体" w:eastAsia="宋体"/>
          <w:b/>
          <w:bCs/>
          <w:color w:val="000000"/>
          <w:sz w:val="24"/>
          <w:szCs w:val="24"/>
        </w:rPr>
        <w:t>二、招标内容</w:t>
      </w:r>
    </w:p>
    <w:tbl>
      <w:tblPr>
        <w:tblStyle w:val="5"/>
        <w:tblW w:w="879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68"/>
        <w:gridCol w:w="3123"/>
        <w:gridCol w:w="567"/>
        <w:gridCol w:w="567"/>
        <w:gridCol w:w="39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68" w:hRule="atLeast"/>
        </w:trPr>
        <w:tc>
          <w:tcPr>
            <w:tcW w:w="568" w:type="dxa"/>
            <w:tcBorders>
              <w:top w:val="single" w:color="auto" w:sz="4" w:space="0"/>
              <w:left w:val="single" w:color="auto" w:sz="4" w:space="0"/>
              <w:bottom w:val="single" w:color="auto" w:sz="6" w:space="0"/>
              <w:right w:val="single" w:color="auto" w:sz="6" w:space="0"/>
            </w:tcBorders>
            <w:vAlign w:val="center"/>
          </w:tcPr>
          <w:p>
            <w:pPr>
              <w:spacing w:beforeLines="50" w:after="0" w:line="360" w:lineRule="auto"/>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3123" w:type="dxa"/>
            <w:tcBorders>
              <w:top w:val="single" w:color="auto" w:sz="4" w:space="0"/>
              <w:left w:val="single" w:color="auto" w:sz="4" w:space="0"/>
              <w:bottom w:val="single" w:color="auto" w:sz="6" w:space="0"/>
              <w:right w:val="single" w:color="auto" w:sz="6" w:space="0"/>
            </w:tcBorders>
            <w:vAlign w:val="center"/>
          </w:tcPr>
          <w:p>
            <w:pPr>
              <w:spacing w:beforeLines="50" w:after="0" w:line="360" w:lineRule="auto"/>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招标项目</w:t>
            </w:r>
          </w:p>
        </w:tc>
        <w:tc>
          <w:tcPr>
            <w:tcW w:w="567" w:type="dxa"/>
            <w:tcBorders>
              <w:top w:val="single" w:color="auto" w:sz="4" w:space="0"/>
              <w:left w:val="single" w:color="auto" w:sz="6" w:space="0"/>
              <w:bottom w:val="single" w:color="auto" w:sz="6" w:space="0"/>
              <w:right w:val="single" w:color="auto" w:sz="6" w:space="0"/>
            </w:tcBorders>
            <w:vAlign w:val="center"/>
          </w:tcPr>
          <w:p>
            <w:pPr>
              <w:spacing w:beforeLines="50" w:after="0" w:line="360" w:lineRule="auto"/>
              <w:ind w:left="44" w:leftChars="20"/>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567" w:type="dxa"/>
            <w:tcBorders>
              <w:top w:val="single" w:color="auto" w:sz="4" w:space="0"/>
              <w:left w:val="single" w:color="auto" w:sz="6" w:space="0"/>
              <w:bottom w:val="single" w:color="auto" w:sz="6" w:space="0"/>
              <w:right w:val="single" w:color="auto" w:sz="6" w:space="0"/>
            </w:tcBorders>
            <w:vAlign w:val="center"/>
          </w:tcPr>
          <w:p>
            <w:pPr>
              <w:spacing w:beforeLines="50" w:after="0" w:line="360" w:lineRule="auto"/>
              <w:ind w:left="44" w:leftChars="20"/>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3969" w:type="dxa"/>
            <w:tcBorders>
              <w:top w:val="single" w:color="auto" w:sz="4" w:space="0"/>
              <w:left w:val="single" w:color="auto" w:sz="6" w:space="0"/>
              <w:bottom w:val="single" w:color="auto" w:sz="6" w:space="0"/>
              <w:right w:val="single" w:color="auto" w:sz="4" w:space="0"/>
            </w:tcBorders>
            <w:vAlign w:val="center"/>
          </w:tcPr>
          <w:p>
            <w:pPr>
              <w:spacing w:beforeLines="50" w:after="0" w:line="360" w:lineRule="auto"/>
              <w:ind w:left="44" w:leftChars="20"/>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52" w:hRule="atLeast"/>
        </w:trPr>
        <w:tc>
          <w:tcPr>
            <w:tcW w:w="568" w:type="dxa"/>
            <w:tcBorders>
              <w:top w:val="single" w:color="auto" w:sz="6" w:space="0"/>
              <w:left w:val="single" w:color="auto" w:sz="4" w:space="0"/>
              <w:bottom w:val="single" w:color="auto" w:sz="6" w:space="0"/>
              <w:right w:val="single" w:color="auto" w:sz="6" w:space="0"/>
            </w:tcBorders>
            <w:vAlign w:val="center"/>
          </w:tcPr>
          <w:p>
            <w:pPr>
              <w:spacing w:beforeLines="50" w:after="0" w:line="360" w:lineRule="auto"/>
              <w:jc w:val="center"/>
              <w:textAlignment w:val="baseline"/>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3123" w:type="dxa"/>
            <w:tcBorders>
              <w:top w:val="single" w:color="auto" w:sz="6" w:space="0"/>
              <w:left w:val="single" w:color="auto" w:sz="4" w:space="0"/>
              <w:bottom w:val="single" w:color="auto" w:sz="6" w:space="0"/>
              <w:right w:val="single" w:color="auto" w:sz="6" w:space="0"/>
            </w:tcBorders>
            <w:vAlign w:val="center"/>
          </w:tcPr>
          <w:p>
            <w:pPr>
              <w:spacing w:beforeLines="50" w:after="0" w:line="360" w:lineRule="auto"/>
              <w:jc w:val="cente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焦化干熄焦放散气脱硫治理</w:t>
            </w:r>
          </w:p>
        </w:tc>
        <w:tc>
          <w:tcPr>
            <w:tcW w:w="567" w:type="dxa"/>
            <w:tcBorders>
              <w:top w:val="single" w:color="auto" w:sz="6" w:space="0"/>
              <w:left w:val="single" w:color="auto" w:sz="6" w:space="0"/>
              <w:bottom w:val="single" w:color="auto" w:sz="6" w:space="0"/>
              <w:right w:val="single" w:color="auto" w:sz="6" w:space="0"/>
            </w:tcBorders>
            <w:vAlign w:val="center"/>
          </w:tcPr>
          <w:p>
            <w:pPr>
              <w:spacing w:beforeLines="50" w:after="0" w:line="360" w:lineRule="auto"/>
              <w:ind w:left="44" w:leftChars="20"/>
              <w:jc w:val="center"/>
              <w:textAlignment w:val="baseline"/>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67" w:type="dxa"/>
            <w:tcBorders>
              <w:top w:val="single" w:color="auto" w:sz="6" w:space="0"/>
              <w:left w:val="single" w:color="auto" w:sz="6" w:space="0"/>
              <w:bottom w:val="single" w:color="auto" w:sz="6" w:space="0"/>
              <w:right w:val="single" w:color="auto" w:sz="6" w:space="0"/>
            </w:tcBorders>
            <w:vAlign w:val="center"/>
          </w:tcPr>
          <w:p>
            <w:pPr>
              <w:spacing w:beforeLines="50" w:after="0" w:line="360" w:lineRule="auto"/>
              <w:ind w:left="44" w:leftChars="20"/>
              <w:jc w:val="center"/>
              <w:textAlignment w:val="baseline"/>
              <w:rPr>
                <w:rFonts w:ascii="宋体" w:hAnsi="宋体" w:eastAsia="宋体" w:cs="宋体"/>
                <w:color w:val="000000"/>
                <w:sz w:val="21"/>
                <w:szCs w:val="21"/>
              </w:rPr>
            </w:pPr>
            <w:r>
              <w:rPr>
                <w:rFonts w:hint="eastAsia" w:ascii="宋体" w:hAnsi="宋体" w:eastAsia="宋体" w:cs="宋体"/>
                <w:color w:val="000000"/>
                <w:sz w:val="21"/>
                <w:szCs w:val="21"/>
              </w:rPr>
              <w:t>套</w:t>
            </w:r>
          </w:p>
        </w:tc>
        <w:tc>
          <w:tcPr>
            <w:tcW w:w="3969" w:type="dxa"/>
            <w:tcBorders>
              <w:top w:val="single" w:color="auto" w:sz="6" w:space="0"/>
              <w:left w:val="single" w:color="auto" w:sz="6" w:space="0"/>
              <w:bottom w:val="single" w:color="auto" w:sz="6" w:space="0"/>
              <w:right w:val="single" w:color="auto" w:sz="4" w:space="0"/>
            </w:tcBorders>
            <w:vAlign w:val="center"/>
          </w:tcPr>
          <w:p>
            <w:pPr>
              <w:spacing w:beforeLines="50" w:after="0" w:line="360" w:lineRule="auto"/>
              <w:jc w:val="center"/>
              <w:textAlignment w:val="baseline"/>
              <w:rPr>
                <w:rFonts w:ascii="宋体" w:hAnsi="宋体" w:eastAsia="宋体" w:cs="宋体"/>
                <w:color w:val="FF0000"/>
                <w:sz w:val="21"/>
                <w:szCs w:val="21"/>
              </w:rPr>
            </w:pPr>
            <w:r>
              <w:rPr>
                <w:rFonts w:hint="eastAsia" w:ascii="宋体" w:hAnsi="宋体" w:eastAsia="宋体" w:cs="宋体"/>
                <w:sz w:val="21"/>
                <w:szCs w:val="21"/>
              </w:rPr>
              <w:t>设备的</w:t>
            </w:r>
            <w:r>
              <w:rPr>
                <w:rFonts w:hint="eastAsia" w:ascii="宋体" w:hAnsi="宋体" w:eastAsia="宋体" w:cs="宋体"/>
                <w:sz w:val="21"/>
                <w:szCs w:val="21"/>
                <w:lang w:eastAsia="zh-CN"/>
              </w:rPr>
              <w:t>设计、制作</w:t>
            </w:r>
            <w:r>
              <w:rPr>
                <w:rFonts w:hint="eastAsia" w:ascii="宋体" w:hAnsi="宋体" w:eastAsia="宋体" w:cs="宋体"/>
                <w:sz w:val="21"/>
                <w:szCs w:val="21"/>
              </w:rPr>
              <w:t>、供货、安装和调试</w:t>
            </w:r>
          </w:p>
        </w:tc>
      </w:tr>
    </w:tbl>
    <w:p>
      <w:pPr>
        <w:widowControl w:val="0"/>
        <w:adjustRightInd/>
        <w:snapToGrid/>
        <w:spacing w:after="0" w:line="360" w:lineRule="auto"/>
        <w:jc w:val="both"/>
        <w:rPr>
          <w:rFonts w:ascii="宋体" w:hAnsi="宋体" w:eastAsia="宋体" w:cs="宋体"/>
          <w:b/>
          <w:bCs/>
          <w:color w:val="000000"/>
          <w:sz w:val="24"/>
        </w:rPr>
      </w:pPr>
    </w:p>
    <w:p>
      <w:pPr>
        <w:widowControl w:val="0"/>
        <w:adjustRightInd/>
        <w:snapToGrid/>
        <w:spacing w:after="0" w:line="360" w:lineRule="auto"/>
        <w:jc w:val="both"/>
        <w:rPr>
          <w:rFonts w:ascii="宋体" w:hAnsi="宋体" w:eastAsia="宋体" w:cs="宋体"/>
          <w:b/>
          <w:bCs/>
          <w:color w:val="000000"/>
          <w:sz w:val="24"/>
        </w:rPr>
      </w:pPr>
    </w:p>
    <w:p>
      <w:pPr>
        <w:widowControl w:val="0"/>
        <w:adjustRightInd/>
        <w:snapToGrid/>
        <w:spacing w:after="0" w:line="360" w:lineRule="auto"/>
        <w:jc w:val="both"/>
        <w:rPr>
          <w:rFonts w:ascii="宋体" w:hAnsi="宋体" w:eastAsia="宋体" w:cs="宋体"/>
          <w:b/>
          <w:bCs/>
          <w:color w:val="000000"/>
          <w:sz w:val="24"/>
        </w:rPr>
      </w:pPr>
      <w:r>
        <w:rPr>
          <w:rFonts w:hint="eastAsia" w:ascii="宋体" w:hAnsi="宋体" w:eastAsia="宋体" w:cs="宋体"/>
          <w:b/>
          <w:bCs/>
          <w:color w:val="000000"/>
          <w:sz w:val="24"/>
        </w:rPr>
        <w:t>三、设计条件及要求</w:t>
      </w:r>
    </w:p>
    <w:p>
      <w:pPr>
        <w:tabs>
          <w:tab w:val="left" w:pos="425"/>
        </w:tabs>
        <w:spacing w:after="0" w:line="360" w:lineRule="auto"/>
        <w:rPr>
          <w:rFonts w:ascii="宋体" w:hAnsi="宋体" w:eastAsia="宋体"/>
          <w:b/>
          <w:sz w:val="24"/>
          <w:szCs w:val="24"/>
        </w:rPr>
      </w:pPr>
      <w:r>
        <w:rPr>
          <w:rFonts w:hint="eastAsia" w:ascii="宋体" w:hAnsi="宋体" w:eastAsia="宋体"/>
          <w:b/>
          <w:sz w:val="24"/>
          <w:szCs w:val="24"/>
        </w:rPr>
        <w:t xml:space="preserve">3.1 </w:t>
      </w:r>
      <w:r>
        <w:rPr>
          <w:rFonts w:hint="eastAsia" w:ascii="宋体" w:hAnsi="宋体" w:eastAsia="宋体"/>
          <w:b/>
          <w:sz w:val="24"/>
          <w:szCs w:val="24"/>
          <w:lang w:eastAsia="zh-CN"/>
        </w:rPr>
        <w:t>干熄焦</w:t>
      </w:r>
      <w:r>
        <w:rPr>
          <w:rFonts w:hint="eastAsia" w:ascii="宋体" w:hAnsi="宋体" w:eastAsia="宋体"/>
          <w:b/>
          <w:sz w:val="24"/>
          <w:szCs w:val="24"/>
        </w:rPr>
        <w:t>情况</w:t>
      </w:r>
    </w:p>
    <w:tbl>
      <w:tblPr>
        <w:tblStyle w:val="5"/>
        <w:tblW w:w="91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1126"/>
        <w:gridCol w:w="46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6"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b/>
                <w:sz w:val="21"/>
                <w:szCs w:val="21"/>
              </w:rPr>
              <w:t>项  目</w:t>
            </w:r>
          </w:p>
        </w:tc>
        <w:tc>
          <w:tcPr>
            <w:tcW w:w="1126"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b/>
                <w:sz w:val="21"/>
                <w:szCs w:val="21"/>
              </w:rPr>
              <w:t>单位</w:t>
            </w:r>
          </w:p>
        </w:tc>
        <w:tc>
          <w:tcPr>
            <w:tcW w:w="4663"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b/>
                <w:sz w:val="21"/>
                <w:szCs w:val="21"/>
              </w:rPr>
              <w:t>数    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6" w:type="dxa"/>
            <w:tcBorders>
              <w:top w:val="nil"/>
            </w:tcBorders>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lang w:eastAsia="zh-CN"/>
              </w:rPr>
              <w:t>干熄焦</w:t>
            </w:r>
            <w:r>
              <w:rPr>
                <w:rFonts w:hint="eastAsia" w:ascii="宋体" w:hAnsi="宋体" w:eastAsia="宋体"/>
                <w:sz w:val="21"/>
                <w:szCs w:val="21"/>
              </w:rPr>
              <w:t>规模</w:t>
            </w:r>
          </w:p>
        </w:tc>
        <w:tc>
          <w:tcPr>
            <w:tcW w:w="1126" w:type="dxa"/>
            <w:tcBorders>
              <w:top w:val="nil"/>
            </w:tcBorders>
            <w:vAlign w:val="center"/>
          </w:tcPr>
          <w:p>
            <w:pPr>
              <w:spacing w:beforeLines="50" w:after="0" w:line="360" w:lineRule="auto"/>
              <w:jc w:val="center"/>
              <w:rPr>
                <w:rFonts w:hint="eastAsia" w:ascii="宋体" w:hAnsi="宋体" w:eastAsia="宋体"/>
                <w:sz w:val="21"/>
                <w:szCs w:val="21"/>
                <w:lang w:eastAsia="zh-CN"/>
              </w:rPr>
            </w:pPr>
            <w:r>
              <w:rPr>
                <w:rFonts w:hint="eastAsia" w:ascii="宋体" w:hAnsi="宋体" w:eastAsia="宋体"/>
                <w:sz w:val="21"/>
                <w:szCs w:val="21"/>
                <w:lang w:val="en-US" w:eastAsia="zh-CN"/>
              </w:rPr>
              <w:t>t/h</w:t>
            </w:r>
          </w:p>
        </w:tc>
        <w:tc>
          <w:tcPr>
            <w:tcW w:w="4663" w:type="dxa"/>
            <w:tcBorders>
              <w:top w:val="nil"/>
            </w:tcBorders>
            <w:vAlign w:val="center"/>
          </w:tcPr>
          <w:p>
            <w:pPr>
              <w:spacing w:beforeLines="50" w:after="0" w:line="360" w:lineRule="auto"/>
              <w:jc w:val="center"/>
              <w:rPr>
                <w:rFonts w:hint="eastAsia" w:ascii="宋体" w:hAnsi="宋体" w:eastAsia="宋体"/>
                <w:sz w:val="21"/>
                <w:szCs w:val="21"/>
                <w:lang w:eastAsia="zh-CN"/>
              </w:rPr>
            </w:pPr>
            <w:r>
              <w:rPr>
                <w:rFonts w:hint="eastAsia" w:ascii="宋体" w:hAnsi="宋体" w:eastAsia="宋体"/>
                <w:sz w:val="21"/>
                <w:szCs w:val="21"/>
                <w:lang w:val="en-US" w:eastAsia="zh-CN"/>
              </w:rPr>
              <w:t>150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6"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lang w:eastAsia="zh-CN"/>
              </w:rPr>
              <w:t>干熄焦</w:t>
            </w:r>
            <w:r>
              <w:rPr>
                <w:rFonts w:hint="eastAsia" w:ascii="宋体" w:hAnsi="宋体" w:eastAsia="宋体"/>
                <w:sz w:val="21"/>
                <w:szCs w:val="21"/>
              </w:rPr>
              <w:t>年运行时间</w:t>
            </w:r>
          </w:p>
        </w:tc>
        <w:tc>
          <w:tcPr>
            <w:tcW w:w="1126"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天</w:t>
            </w:r>
          </w:p>
        </w:tc>
        <w:tc>
          <w:tcPr>
            <w:tcW w:w="4663"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lang w:val="en-US" w:eastAsia="zh-CN"/>
              </w:rPr>
              <w:t>45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6"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是否为新建项目</w:t>
            </w:r>
          </w:p>
        </w:tc>
        <w:tc>
          <w:tcPr>
            <w:tcW w:w="1126" w:type="dxa"/>
            <w:vAlign w:val="center"/>
          </w:tcPr>
          <w:p>
            <w:pPr>
              <w:spacing w:beforeLines="50" w:after="0" w:line="360" w:lineRule="auto"/>
              <w:jc w:val="center"/>
              <w:rPr>
                <w:rFonts w:ascii="宋体" w:hAnsi="宋体" w:eastAsia="宋体"/>
                <w:sz w:val="21"/>
                <w:szCs w:val="21"/>
              </w:rPr>
            </w:pPr>
          </w:p>
        </w:tc>
        <w:tc>
          <w:tcPr>
            <w:tcW w:w="4663"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否</w:t>
            </w:r>
          </w:p>
        </w:tc>
      </w:tr>
    </w:tbl>
    <w:p>
      <w:pPr>
        <w:widowControl w:val="0"/>
        <w:tabs>
          <w:tab w:val="left" w:pos="425"/>
        </w:tabs>
        <w:adjustRightInd/>
        <w:snapToGrid/>
        <w:spacing w:beforeLines="50" w:after="0" w:line="360" w:lineRule="auto"/>
        <w:jc w:val="both"/>
        <w:rPr>
          <w:rFonts w:ascii="宋体" w:hAnsi="宋体" w:eastAsia="宋体"/>
          <w:b/>
          <w:sz w:val="24"/>
          <w:szCs w:val="24"/>
        </w:rPr>
      </w:pPr>
      <w:r>
        <w:rPr>
          <w:rFonts w:hint="eastAsia" w:ascii="宋体" w:hAnsi="宋体" w:eastAsia="宋体"/>
          <w:b/>
          <w:sz w:val="24"/>
          <w:szCs w:val="24"/>
        </w:rPr>
        <w:t>3.</w:t>
      </w:r>
      <w:r>
        <w:rPr>
          <w:rFonts w:hint="eastAsia" w:ascii="宋体" w:hAnsi="宋体" w:eastAsia="宋体"/>
          <w:b/>
          <w:sz w:val="24"/>
          <w:szCs w:val="24"/>
          <w:lang w:val="en-US" w:eastAsia="zh-CN"/>
        </w:rPr>
        <w:t>2</w:t>
      </w:r>
      <w:r>
        <w:rPr>
          <w:rFonts w:hint="eastAsia" w:ascii="宋体" w:hAnsi="宋体" w:eastAsia="宋体"/>
          <w:b/>
          <w:sz w:val="24"/>
          <w:szCs w:val="24"/>
        </w:rPr>
        <w:t xml:space="preserve"> 脱硫的入口烟气原始参数：</w:t>
      </w:r>
    </w:p>
    <w:tbl>
      <w:tblPr>
        <w:tblStyle w:val="5"/>
        <w:tblW w:w="91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2614"/>
        <w:gridCol w:w="28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7"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b/>
                <w:sz w:val="21"/>
                <w:szCs w:val="21"/>
              </w:rPr>
              <w:t>项   目</w:t>
            </w:r>
          </w:p>
        </w:tc>
        <w:tc>
          <w:tcPr>
            <w:tcW w:w="2614"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b/>
                <w:sz w:val="21"/>
                <w:szCs w:val="21"/>
              </w:rPr>
              <w:t>单 位</w:t>
            </w:r>
          </w:p>
        </w:tc>
        <w:tc>
          <w:tcPr>
            <w:tcW w:w="2884"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b/>
                <w:sz w:val="21"/>
                <w:szCs w:val="21"/>
              </w:rPr>
              <w:t>数值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7"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sz w:val="21"/>
                <w:szCs w:val="21"/>
              </w:rPr>
              <w:t>入口烟气量</w:t>
            </w:r>
          </w:p>
        </w:tc>
        <w:tc>
          <w:tcPr>
            <w:tcW w:w="2614"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ascii="宋体" w:hAnsi="宋体" w:eastAsia="宋体"/>
                <w:sz w:val="21"/>
                <w:szCs w:val="21"/>
              </w:rPr>
              <w:t>Nm</w:t>
            </w:r>
            <w:r>
              <w:rPr>
                <w:rFonts w:ascii="宋体" w:hAnsi="宋体" w:eastAsia="宋体"/>
                <w:sz w:val="21"/>
                <w:szCs w:val="21"/>
                <w:vertAlign w:val="superscript"/>
              </w:rPr>
              <w:t>3</w:t>
            </w:r>
            <w:r>
              <w:rPr>
                <w:rFonts w:hint="eastAsia" w:ascii="宋体" w:hAnsi="宋体" w:eastAsia="宋体"/>
                <w:sz w:val="21"/>
                <w:szCs w:val="21"/>
              </w:rPr>
              <w:t>/</w:t>
            </w:r>
            <w:r>
              <w:rPr>
                <w:rFonts w:ascii="宋体" w:hAnsi="宋体" w:eastAsia="宋体"/>
                <w:sz w:val="21"/>
                <w:szCs w:val="21"/>
              </w:rPr>
              <w:t>h</w:t>
            </w:r>
            <w:r>
              <w:rPr>
                <w:rFonts w:hint="eastAsia" w:ascii="宋体" w:hAnsi="宋体" w:eastAsia="宋体"/>
                <w:sz w:val="21"/>
                <w:szCs w:val="21"/>
              </w:rPr>
              <w:t>（标况）</w:t>
            </w:r>
          </w:p>
        </w:tc>
        <w:tc>
          <w:tcPr>
            <w:tcW w:w="2884" w:type="dxa"/>
            <w:tcBorders>
              <w:top w:val="double" w:color="auto" w:sz="4" w:space="0"/>
              <w:bottom w:val="double" w:color="auto" w:sz="4" w:space="0"/>
            </w:tcBorders>
            <w:vAlign w:val="center"/>
          </w:tcPr>
          <w:p>
            <w:pPr>
              <w:spacing w:beforeLines="50" w:after="0" w:line="360" w:lineRule="auto"/>
              <w:jc w:val="center"/>
              <w:rPr>
                <w:rFonts w:ascii="宋体" w:hAnsi="宋体" w:eastAsia="宋体"/>
                <w:bCs/>
                <w:sz w:val="21"/>
                <w:szCs w:val="21"/>
              </w:rPr>
            </w:pPr>
            <w:r>
              <w:rPr>
                <w:rFonts w:hint="eastAsia" w:ascii="宋体" w:hAnsi="宋体" w:eastAsia="宋体"/>
                <w:bCs/>
                <w:sz w:val="21"/>
                <w:szCs w:val="21"/>
                <w:lang w:val="en-US" w:eastAsia="zh-CN"/>
              </w:rPr>
              <w:t>3</w:t>
            </w:r>
            <w:r>
              <w:rPr>
                <w:rFonts w:hint="eastAsia" w:ascii="宋体" w:hAnsi="宋体" w:eastAsia="宋体"/>
                <w:bCs/>
                <w:sz w:val="21"/>
                <w:szCs w:val="21"/>
              </w:rPr>
              <w:t>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7" w:type="dxa"/>
            <w:tcBorders>
              <w:top w:val="nil"/>
            </w:tcBorders>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烟气温度</w:t>
            </w:r>
          </w:p>
        </w:tc>
        <w:tc>
          <w:tcPr>
            <w:tcW w:w="2614" w:type="dxa"/>
            <w:tcBorders>
              <w:top w:val="nil"/>
            </w:tcBorders>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w:t>
            </w:r>
          </w:p>
        </w:tc>
        <w:tc>
          <w:tcPr>
            <w:tcW w:w="2884" w:type="dxa"/>
            <w:tcBorders>
              <w:top w:val="nil"/>
            </w:tcBorders>
            <w:vAlign w:val="center"/>
          </w:tcPr>
          <w:p>
            <w:pPr>
              <w:spacing w:beforeLines="50" w:after="0" w:line="360" w:lineRule="auto"/>
              <w:ind w:firstLine="210" w:firstLineChars="100"/>
              <w:jc w:val="center"/>
              <w:rPr>
                <w:rFonts w:ascii="宋体" w:hAnsi="宋体" w:eastAsia="宋体" w:cs="Arial"/>
                <w:sz w:val="21"/>
                <w:szCs w:val="21"/>
              </w:rPr>
            </w:pPr>
            <w:r>
              <w:rPr>
                <w:rFonts w:hint="eastAsia" w:ascii="宋体" w:hAnsi="宋体" w:eastAsia="宋体" w:cs="Arial"/>
                <w:sz w:val="21"/>
                <w:szCs w:val="21"/>
                <w:lang w:val="en-US" w:eastAsia="zh-CN"/>
              </w:rPr>
              <w:t>16</w:t>
            </w:r>
            <w:r>
              <w:rPr>
                <w:rFonts w:hint="eastAsia" w:ascii="宋体" w:hAnsi="宋体" w:eastAsia="宋体" w:cs="Arial"/>
                <w:sz w:val="21"/>
                <w:szCs w:val="21"/>
              </w:rPr>
              <w:t>0-</w:t>
            </w:r>
            <w:r>
              <w:rPr>
                <w:rFonts w:hint="eastAsia" w:ascii="宋体" w:hAnsi="宋体" w:eastAsia="宋体" w:cs="Arial"/>
                <w:sz w:val="21"/>
                <w:szCs w:val="21"/>
                <w:lang w:val="en-US" w:eastAsia="zh-CN"/>
              </w:rPr>
              <w:t>20</w:t>
            </w:r>
            <w:r>
              <w:rPr>
                <w:rFonts w:hint="eastAsia" w:ascii="宋体" w:hAnsi="宋体" w:eastAsia="宋体" w:cs="Arial"/>
                <w:sz w:val="21"/>
                <w:szCs w:val="21"/>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7"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入口粉尘浓度</w:t>
            </w:r>
          </w:p>
        </w:tc>
        <w:tc>
          <w:tcPr>
            <w:tcW w:w="2614" w:type="dxa"/>
            <w:vAlign w:val="center"/>
          </w:tcPr>
          <w:p>
            <w:pPr>
              <w:spacing w:beforeLines="50" w:after="0" w:line="360" w:lineRule="auto"/>
              <w:jc w:val="center"/>
              <w:rPr>
                <w:rFonts w:ascii="宋体" w:hAnsi="宋体" w:eastAsia="宋体"/>
                <w:sz w:val="21"/>
                <w:szCs w:val="21"/>
              </w:rPr>
            </w:pPr>
            <w:r>
              <w:rPr>
                <w:rFonts w:ascii="宋体" w:hAnsi="宋体" w:eastAsia="宋体"/>
                <w:sz w:val="21"/>
                <w:szCs w:val="21"/>
              </w:rPr>
              <w:t>mg/Nm</w:t>
            </w:r>
            <w:r>
              <w:rPr>
                <w:rFonts w:ascii="宋体" w:hAnsi="宋体" w:eastAsia="宋体"/>
                <w:sz w:val="21"/>
                <w:szCs w:val="21"/>
                <w:vertAlign w:val="superscript"/>
              </w:rPr>
              <w:t>3</w:t>
            </w:r>
          </w:p>
        </w:tc>
        <w:tc>
          <w:tcPr>
            <w:tcW w:w="2884" w:type="dxa"/>
            <w:vAlign w:val="center"/>
          </w:tcPr>
          <w:p>
            <w:pPr>
              <w:spacing w:beforeLines="50" w:after="0" w:line="360" w:lineRule="auto"/>
              <w:ind w:firstLine="210" w:firstLineChars="100"/>
              <w:jc w:val="center"/>
              <w:rPr>
                <w:rFonts w:hint="eastAsia" w:ascii="宋体" w:hAnsi="宋体" w:eastAsia="宋体" w:cs="Arial"/>
                <w:sz w:val="21"/>
                <w:szCs w:val="21"/>
                <w:lang w:eastAsia="zh-CN"/>
              </w:rPr>
            </w:pPr>
            <w:r>
              <w:rPr>
                <w:rFonts w:hint="eastAsia" w:ascii="宋体" w:hAnsi="宋体" w:eastAsia="宋体" w:cs="Arial"/>
                <w:sz w:val="21"/>
                <w:szCs w:val="21"/>
                <w:lang w:val="en-US" w:eastAsia="zh-CN"/>
              </w:rPr>
              <w:t>≤150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7"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入口SO</w:t>
            </w:r>
            <w:r>
              <w:rPr>
                <w:rFonts w:hint="eastAsia" w:ascii="宋体" w:hAnsi="宋体" w:eastAsia="宋体"/>
                <w:sz w:val="21"/>
                <w:szCs w:val="21"/>
                <w:vertAlign w:val="subscript"/>
              </w:rPr>
              <w:t>2</w:t>
            </w:r>
            <w:r>
              <w:rPr>
                <w:rFonts w:hint="eastAsia" w:ascii="宋体" w:hAnsi="宋体" w:eastAsia="宋体"/>
                <w:sz w:val="21"/>
                <w:szCs w:val="21"/>
              </w:rPr>
              <w:t>浓度</w:t>
            </w:r>
          </w:p>
        </w:tc>
        <w:tc>
          <w:tcPr>
            <w:tcW w:w="2614" w:type="dxa"/>
            <w:vAlign w:val="center"/>
          </w:tcPr>
          <w:p>
            <w:pPr>
              <w:spacing w:beforeLines="50" w:after="0" w:line="360" w:lineRule="auto"/>
              <w:jc w:val="center"/>
              <w:rPr>
                <w:rFonts w:ascii="宋体" w:hAnsi="宋体" w:eastAsia="宋体"/>
                <w:sz w:val="21"/>
                <w:szCs w:val="21"/>
              </w:rPr>
            </w:pPr>
            <w:r>
              <w:rPr>
                <w:rFonts w:ascii="宋体" w:hAnsi="宋体" w:eastAsia="宋体"/>
                <w:sz w:val="21"/>
                <w:szCs w:val="21"/>
              </w:rPr>
              <w:t>mg/Nm</w:t>
            </w:r>
            <w:r>
              <w:rPr>
                <w:rFonts w:ascii="宋体" w:hAnsi="宋体" w:eastAsia="宋体"/>
                <w:sz w:val="21"/>
                <w:szCs w:val="21"/>
                <w:vertAlign w:val="superscript"/>
              </w:rPr>
              <w:t>3</w:t>
            </w:r>
          </w:p>
        </w:tc>
        <w:tc>
          <w:tcPr>
            <w:tcW w:w="2884" w:type="dxa"/>
            <w:vAlign w:val="center"/>
          </w:tcPr>
          <w:p>
            <w:pPr>
              <w:spacing w:beforeLines="50" w:after="0" w:line="360" w:lineRule="auto"/>
              <w:ind w:firstLine="210" w:firstLineChars="100"/>
              <w:jc w:val="center"/>
              <w:rPr>
                <w:rFonts w:ascii="宋体" w:hAnsi="宋体" w:eastAsia="宋体" w:cs="Arial"/>
                <w:sz w:val="21"/>
                <w:szCs w:val="21"/>
              </w:rPr>
            </w:pPr>
            <w:r>
              <w:rPr>
                <w:rFonts w:hint="eastAsia" w:ascii="宋体" w:hAnsi="宋体" w:eastAsia="宋体" w:cs="Arial"/>
                <w:sz w:val="21"/>
                <w:szCs w:val="21"/>
                <w:lang w:val="en-US" w:eastAsia="zh-CN"/>
              </w:rPr>
              <w:t>40</w:t>
            </w:r>
            <w:r>
              <w:rPr>
                <w:rFonts w:hint="eastAsia" w:ascii="宋体" w:hAnsi="宋体" w:eastAsia="宋体" w:cs="Arial"/>
                <w:sz w:val="21"/>
                <w:szCs w:val="21"/>
              </w:rPr>
              <w:t>0-</w:t>
            </w:r>
            <w:r>
              <w:rPr>
                <w:rFonts w:hint="eastAsia" w:ascii="宋体" w:hAnsi="宋体" w:eastAsia="宋体" w:cs="Arial"/>
                <w:sz w:val="21"/>
                <w:szCs w:val="21"/>
                <w:lang w:val="en-US" w:eastAsia="zh-CN"/>
              </w:rPr>
              <w:t>1000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7"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O</w:t>
            </w:r>
            <w:r>
              <w:rPr>
                <w:rFonts w:hint="eastAsia" w:ascii="宋体" w:hAnsi="宋体" w:eastAsia="宋体"/>
                <w:sz w:val="21"/>
                <w:szCs w:val="21"/>
                <w:vertAlign w:val="subscript"/>
              </w:rPr>
              <w:t>2</w:t>
            </w:r>
            <w:r>
              <w:rPr>
                <w:rFonts w:hint="eastAsia" w:ascii="宋体" w:hAnsi="宋体" w:eastAsia="宋体"/>
                <w:sz w:val="21"/>
                <w:szCs w:val="21"/>
              </w:rPr>
              <w:t>含量</w:t>
            </w:r>
          </w:p>
        </w:tc>
        <w:tc>
          <w:tcPr>
            <w:tcW w:w="2614"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Vol%</w:t>
            </w:r>
          </w:p>
        </w:tc>
        <w:tc>
          <w:tcPr>
            <w:tcW w:w="2884" w:type="dxa"/>
            <w:vAlign w:val="center"/>
          </w:tcPr>
          <w:p>
            <w:pPr>
              <w:spacing w:beforeLines="50" w:after="0" w:line="360" w:lineRule="auto"/>
              <w:ind w:firstLine="210" w:firstLineChars="100"/>
              <w:jc w:val="center"/>
              <w:rPr>
                <w:rFonts w:hint="eastAsia" w:ascii="宋体" w:hAnsi="宋体" w:eastAsia="宋体" w:cs="Arial"/>
                <w:sz w:val="21"/>
                <w:szCs w:val="21"/>
                <w:lang w:eastAsia="zh-CN"/>
              </w:rPr>
            </w:pPr>
            <w:r>
              <w:rPr>
                <w:rFonts w:hint="eastAsia" w:ascii="宋体" w:hAnsi="宋体" w:eastAsia="宋体" w:cs="Arial"/>
                <w:sz w:val="21"/>
                <w:szCs w:val="21"/>
                <w:lang w:val="en-US" w:eastAsia="zh-CN"/>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7"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水含量</w:t>
            </w:r>
          </w:p>
        </w:tc>
        <w:tc>
          <w:tcPr>
            <w:tcW w:w="2614"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Vol %</w:t>
            </w:r>
          </w:p>
        </w:tc>
        <w:tc>
          <w:tcPr>
            <w:tcW w:w="2884" w:type="dxa"/>
            <w:vAlign w:val="center"/>
          </w:tcPr>
          <w:p>
            <w:pPr>
              <w:spacing w:beforeLines="50" w:after="0" w:line="360" w:lineRule="auto"/>
              <w:ind w:firstLine="210" w:firstLineChars="100"/>
              <w:jc w:val="center"/>
              <w:rPr>
                <w:rFonts w:ascii="宋体" w:hAnsi="宋体" w:eastAsia="宋体" w:cs="Arial"/>
                <w:sz w:val="21"/>
                <w:szCs w:val="21"/>
              </w:rPr>
            </w:pPr>
            <w:r>
              <w:rPr>
                <w:rFonts w:hint="eastAsia" w:ascii="宋体" w:hAnsi="宋体" w:eastAsia="宋体" w:cs="Arial"/>
                <w:sz w:val="21"/>
                <w:szCs w:val="21"/>
              </w:rPr>
              <w:t>待测</w:t>
            </w:r>
          </w:p>
        </w:tc>
      </w:tr>
    </w:tbl>
    <w:p>
      <w:pPr>
        <w:spacing w:beforeLines="50" w:after="0" w:line="360" w:lineRule="auto"/>
        <w:rPr>
          <w:rFonts w:ascii="宋体" w:hAnsi="宋体" w:eastAsia="宋体"/>
          <w:b/>
          <w:sz w:val="24"/>
          <w:szCs w:val="24"/>
        </w:rPr>
      </w:pPr>
      <w:r>
        <w:rPr>
          <w:rFonts w:hint="eastAsia" w:ascii="宋体" w:hAnsi="宋体" w:eastAsia="宋体"/>
          <w:b/>
          <w:sz w:val="24"/>
          <w:szCs w:val="24"/>
        </w:rPr>
        <w:t>3.</w:t>
      </w:r>
      <w:r>
        <w:rPr>
          <w:rFonts w:hint="eastAsia" w:ascii="宋体" w:hAnsi="宋体" w:eastAsia="宋体"/>
          <w:b/>
          <w:sz w:val="24"/>
          <w:szCs w:val="24"/>
          <w:lang w:val="en-US" w:eastAsia="zh-CN"/>
        </w:rPr>
        <w:t>3</w:t>
      </w:r>
      <w:r>
        <w:rPr>
          <w:rFonts w:hint="eastAsia" w:ascii="宋体" w:hAnsi="宋体" w:eastAsia="宋体"/>
          <w:b/>
          <w:sz w:val="24"/>
          <w:szCs w:val="24"/>
        </w:rPr>
        <w:t>对脱硫除尘系统设计排放要求</w:t>
      </w:r>
    </w:p>
    <w:tbl>
      <w:tblPr>
        <w:tblStyle w:val="5"/>
        <w:tblW w:w="91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3007"/>
        <w:gridCol w:w="35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624"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b/>
                <w:sz w:val="21"/>
                <w:szCs w:val="21"/>
              </w:rPr>
              <w:t>项   目</w:t>
            </w:r>
          </w:p>
        </w:tc>
        <w:tc>
          <w:tcPr>
            <w:tcW w:w="3007"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b/>
                <w:sz w:val="21"/>
                <w:szCs w:val="21"/>
              </w:rPr>
              <w:t>单 位</w:t>
            </w:r>
          </w:p>
        </w:tc>
        <w:tc>
          <w:tcPr>
            <w:tcW w:w="3554" w:type="dxa"/>
            <w:tcBorders>
              <w:top w:val="double" w:color="auto" w:sz="4" w:space="0"/>
              <w:bottom w:val="double" w:color="auto" w:sz="4" w:space="0"/>
            </w:tcBorders>
            <w:vAlign w:val="center"/>
          </w:tcPr>
          <w:p>
            <w:pPr>
              <w:spacing w:beforeLines="50" w:after="0" w:line="360" w:lineRule="auto"/>
              <w:jc w:val="center"/>
              <w:rPr>
                <w:rFonts w:ascii="宋体" w:hAnsi="宋体" w:eastAsia="宋体"/>
                <w:b/>
                <w:sz w:val="21"/>
                <w:szCs w:val="21"/>
              </w:rPr>
            </w:pPr>
            <w:r>
              <w:rPr>
                <w:rFonts w:hint="eastAsia" w:ascii="宋体" w:hAnsi="宋体" w:eastAsia="宋体"/>
                <w:b/>
                <w:sz w:val="21"/>
                <w:szCs w:val="21"/>
              </w:rPr>
              <w:t>数值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4" w:type="dxa"/>
            <w:tcBorders>
              <w:top w:val="nil"/>
            </w:tcBorders>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SO</w:t>
            </w:r>
            <w:r>
              <w:rPr>
                <w:rFonts w:hint="eastAsia" w:ascii="宋体" w:hAnsi="宋体" w:eastAsia="宋体"/>
                <w:sz w:val="21"/>
                <w:szCs w:val="21"/>
                <w:vertAlign w:val="subscript"/>
              </w:rPr>
              <w:t>2</w:t>
            </w:r>
            <w:r>
              <w:rPr>
                <w:rFonts w:hint="eastAsia" w:ascii="宋体" w:hAnsi="宋体" w:eastAsia="宋体"/>
                <w:sz w:val="21"/>
                <w:szCs w:val="21"/>
              </w:rPr>
              <w:t>排放浓度</w:t>
            </w:r>
          </w:p>
        </w:tc>
        <w:tc>
          <w:tcPr>
            <w:tcW w:w="3007" w:type="dxa"/>
            <w:tcBorders>
              <w:top w:val="nil"/>
            </w:tcBorders>
            <w:vAlign w:val="center"/>
          </w:tcPr>
          <w:p>
            <w:pPr>
              <w:spacing w:beforeLines="50" w:after="0" w:line="360" w:lineRule="auto"/>
              <w:jc w:val="center"/>
              <w:rPr>
                <w:rFonts w:ascii="宋体" w:hAnsi="宋体" w:eastAsia="宋体"/>
                <w:sz w:val="21"/>
                <w:szCs w:val="21"/>
              </w:rPr>
            </w:pPr>
            <w:r>
              <w:rPr>
                <w:rFonts w:ascii="宋体" w:hAnsi="宋体" w:eastAsia="宋体"/>
                <w:sz w:val="21"/>
                <w:szCs w:val="21"/>
              </w:rPr>
              <w:t>mg/Nm</w:t>
            </w:r>
            <w:r>
              <w:rPr>
                <w:rFonts w:ascii="宋体" w:hAnsi="宋体" w:eastAsia="宋体"/>
                <w:sz w:val="21"/>
                <w:szCs w:val="21"/>
                <w:vertAlign w:val="superscript"/>
              </w:rPr>
              <w:t>3</w:t>
            </w:r>
          </w:p>
        </w:tc>
        <w:tc>
          <w:tcPr>
            <w:tcW w:w="3554" w:type="dxa"/>
            <w:tcBorders>
              <w:top w:val="nil"/>
            </w:tcBorders>
            <w:vAlign w:val="center"/>
          </w:tcPr>
          <w:p>
            <w:pPr>
              <w:spacing w:beforeLines="50" w:after="0" w:line="360" w:lineRule="auto"/>
              <w:jc w:val="center"/>
              <w:rPr>
                <w:rFonts w:ascii="宋体" w:hAnsi="宋体" w:eastAsia="宋体"/>
                <w:sz w:val="21"/>
                <w:szCs w:val="21"/>
              </w:rPr>
            </w:pPr>
            <w:r>
              <w:rPr>
                <w:rFonts w:hint="eastAsia" w:ascii="宋体" w:hAnsi="宋体" w:eastAsia="宋体"/>
                <w:bCs/>
                <w:sz w:val="24"/>
              </w:rPr>
              <w:t>≤</w:t>
            </w:r>
            <w:r>
              <w:rPr>
                <w:rFonts w:hint="eastAsia" w:ascii="宋体" w:hAnsi="宋体" w:eastAsia="宋体"/>
                <w:sz w:val="21"/>
                <w:szCs w:val="21"/>
              </w:rPr>
              <w:t>3</w:t>
            </w:r>
            <w:r>
              <w:rPr>
                <w:rFonts w:hint="eastAsia" w:ascii="宋体" w:hAnsi="宋体" w:eastAsia="宋体"/>
                <w:sz w:val="21"/>
                <w:szCs w:val="21"/>
                <w:lang w:val="en-US" w:eastAsia="zh-CN"/>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4" w:type="dxa"/>
            <w:vAlign w:val="center"/>
          </w:tcPr>
          <w:p>
            <w:pPr>
              <w:spacing w:beforeLines="50" w:after="0" w:line="360" w:lineRule="auto"/>
              <w:jc w:val="center"/>
              <w:rPr>
                <w:rFonts w:ascii="宋体" w:hAnsi="宋体" w:eastAsia="宋体"/>
                <w:sz w:val="21"/>
                <w:szCs w:val="21"/>
              </w:rPr>
            </w:pPr>
            <w:r>
              <w:rPr>
                <w:rFonts w:hint="eastAsia" w:ascii="宋体" w:hAnsi="宋体" w:eastAsia="宋体"/>
                <w:sz w:val="21"/>
                <w:szCs w:val="21"/>
              </w:rPr>
              <w:t>粉尘排放浓度</w:t>
            </w:r>
          </w:p>
        </w:tc>
        <w:tc>
          <w:tcPr>
            <w:tcW w:w="3007" w:type="dxa"/>
            <w:vAlign w:val="center"/>
          </w:tcPr>
          <w:p>
            <w:pPr>
              <w:spacing w:beforeLines="50" w:after="0" w:line="360" w:lineRule="auto"/>
              <w:jc w:val="center"/>
              <w:rPr>
                <w:rFonts w:ascii="宋体" w:hAnsi="宋体" w:eastAsia="宋体"/>
                <w:sz w:val="21"/>
                <w:szCs w:val="21"/>
              </w:rPr>
            </w:pPr>
            <w:r>
              <w:rPr>
                <w:rFonts w:ascii="宋体" w:hAnsi="宋体" w:eastAsia="宋体"/>
                <w:sz w:val="21"/>
                <w:szCs w:val="21"/>
              </w:rPr>
              <w:t>mg/Nm</w:t>
            </w:r>
            <w:r>
              <w:rPr>
                <w:rFonts w:ascii="宋体" w:hAnsi="宋体" w:eastAsia="宋体"/>
                <w:sz w:val="21"/>
                <w:szCs w:val="21"/>
                <w:vertAlign w:val="superscript"/>
              </w:rPr>
              <w:t>3</w:t>
            </w:r>
          </w:p>
        </w:tc>
        <w:tc>
          <w:tcPr>
            <w:tcW w:w="3554" w:type="dxa"/>
            <w:vAlign w:val="center"/>
          </w:tcPr>
          <w:p>
            <w:pPr>
              <w:spacing w:beforeLines="50" w:after="0" w:line="360" w:lineRule="auto"/>
              <w:jc w:val="center"/>
              <w:rPr>
                <w:rFonts w:ascii="宋体" w:hAnsi="宋体" w:eastAsia="宋体"/>
                <w:sz w:val="21"/>
                <w:szCs w:val="21"/>
              </w:rPr>
            </w:pPr>
            <w:r>
              <w:rPr>
                <w:rFonts w:hint="eastAsia" w:ascii="宋体" w:hAnsi="宋体" w:eastAsia="宋体"/>
                <w:bCs/>
                <w:sz w:val="24"/>
              </w:rPr>
              <w:t>≤</w:t>
            </w:r>
            <w:r>
              <w:rPr>
                <w:rFonts w:hint="eastAsia" w:ascii="宋体" w:hAnsi="宋体" w:eastAsia="宋体"/>
                <w:sz w:val="21"/>
                <w:szCs w:val="21"/>
                <w:lang w:val="en-US" w:eastAsia="zh-CN"/>
              </w:rPr>
              <w:t>10</w:t>
            </w:r>
          </w:p>
        </w:tc>
      </w:tr>
    </w:tbl>
    <w:p>
      <w:pPr>
        <w:widowControl w:val="0"/>
        <w:spacing w:beforeLines="50" w:after="0" w:line="360" w:lineRule="auto"/>
        <w:jc w:val="both"/>
        <w:rPr>
          <w:rFonts w:ascii="宋体" w:hAnsi="宋体" w:eastAsia="宋体" w:cs="宋体"/>
          <w:b/>
          <w:bCs/>
          <w:color w:val="000000"/>
          <w:sz w:val="24"/>
        </w:rPr>
      </w:pPr>
      <w:r>
        <w:rPr>
          <w:rFonts w:hint="eastAsia" w:ascii="宋体" w:hAnsi="宋体" w:eastAsia="宋体" w:cs="宋体"/>
          <w:b/>
          <w:bCs/>
          <w:color w:val="000000"/>
          <w:sz w:val="24"/>
        </w:rPr>
        <w:t>四、工艺技术要求</w:t>
      </w:r>
    </w:p>
    <w:p>
      <w:pPr>
        <w:widowControl w:val="0"/>
        <w:spacing w:after="0" w:line="360" w:lineRule="auto"/>
        <w:jc w:val="both"/>
        <w:rPr>
          <w:rFonts w:ascii="宋体" w:hAnsi="Arial" w:eastAsia="宋体" w:cs="宋体"/>
          <w:b/>
          <w:bCs/>
          <w:color w:val="000000"/>
          <w:sz w:val="24"/>
        </w:rPr>
      </w:pPr>
      <w:r>
        <w:rPr>
          <w:rFonts w:hint="eastAsia" w:ascii="宋体" w:hAnsi="Arial" w:eastAsia="宋体" w:cs="宋体"/>
          <w:b/>
          <w:bCs/>
          <w:color w:val="000000"/>
          <w:sz w:val="24"/>
        </w:rPr>
        <w:t>4.1概述</w:t>
      </w:r>
    </w:p>
    <w:p>
      <w:pPr>
        <w:widowControl w:val="0"/>
        <w:spacing w:after="0" w:line="360" w:lineRule="auto"/>
        <w:jc w:val="both"/>
        <w:rPr>
          <w:rFonts w:ascii="宋体" w:hAnsi="宋体" w:eastAsia="宋体"/>
          <w:bCs/>
          <w:sz w:val="24"/>
        </w:rPr>
      </w:pPr>
      <w:r>
        <w:rPr>
          <w:rFonts w:hint="eastAsia" w:ascii="宋体" w:hAnsi="宋体" w:eastAsia="宋体"/>
          <w:bCs/>
          <w:sz w:val="24"/>
        </w:rPr>
        <w:t>4.1.1 本工程建设规模为</w:t>
      </w:r>
      <w:r>
        <w:rPr>
          <w:rFonts w:hint="eastAsia" w:ascii="宋体" w:hAnsi="宋体" w:eastAsia="宋体"/>
          <w:bCs/>
          <w:sz w:val="24"/>
          <w:lang w:eastAsia="zh-CN"/>
        </w:rPr>
        <w:t>焦化</w:t>
      </w:r>
      <w:r>
        <w:rPr>
          <w:rFonts w:hint="eastAsia" w:ascii="宋体" w:hAnsi="宋体" w:eastAsia="宋体"/>
          <w:bCs/>
          <w:sz w:val="24"/>
          <w:lang w:val="en-US" w:eastAsia="zh-CN"/>
        </w:rPr>
        <w:t>150t/h干熄焦放散烟气</w:t>
      </w:r>
      <w:r>
        <w:rPr>
          <w:rFonts w:hint="eastAsia" w:ascii="宋体" w:hAnsi="宋体" w:eastAsia="宋体"/>
          <w:bCs/>
          <w:sz w:val="24"/>
        </w:rPr>
        <w:t>配套脱硫除尘工程，脱硫除尘工艺采用钙基半干法脱硫工艺。脱硫除尘后使得烟囱排放口SO</w:t>
      </w:r>
      <w:r>
        <w:rPr>
          <w:rFonts w:hint="eastAsia" w:ascii="宋体" w:hAnsi="宋体" w:eastAsia="宋体"/>
          <w:bCs/>
          <w:sz w:val="24"/>
          <w:vertAlign w:val="subscript"/>
        </w:rPr>
        <w:t>2</w:t>
      </w:r>
      <w:r>
        <w:rPr>
          <w:rFonts w:hint="eastAsia" w:ascii="宋体" w:hAnsi="宋体" w:eastAsia="宋体"/>
          <w:bCs/>
          <w:sz w:val="24"/>
        </w:rPr>
        <w:t>及颗粒物排放浓度满足超净排放指标要求（粉尘≤</w:t>
      </w:r>
      <w:r>
        <w:rPr>
          <w:rFonts w:hint="eastAsia" w:ascii="宋体" w:hAnsi="宋体" w:eastAsia="宋体"/>
          <w:bCs/>
          <w:sz w:val="24"/>
          <w:lang w:val="en-US" w:eastAsia="zh-CN"/>
        </w:rPr>
        <w:t>10</w:t>
      </w:r>
      <w:r>
        <w:rPr>
          <w:rFonts w:hint="eastAsia" w:ascii="宋体" w:hAnsi="宋体" w:eastAsia="宋体"/>
          <w:bCs/>
          <w:sz w:val="24"/>
        </w:rPr>
        <w:t>mg/Nm³；SO</w:t>
      </w:r>
      <w:r>
        <w:rPr>
          <w:rFonts w:hint="eastAsia" w:ascii="宋体" w:hAnsi="宋体" w:eastAsia="宋体"/>
          <w:bCs/>
          <w:sz w:val="24"/>
          <w:vertAlign w:val="subscript"/>
        </w:rPr>
        <w:t>2</w:t>
      </w:r>
      <w:r>
        <w:rPr>
          <w:rFonts w:hint="eastAsia" w:ascii="宋体" w:hAnsi="宋体" w:eastAsia="宋体"/>
          <w:bCs/>
          <w:sz w:val="24"/>
        </w:rPr>
        <w:t>≤3</w:t>
      </w:r>
      <w:r>
        <w:rPr>
          <w:rFonts w:hint="eastAsia" w:ascii="宋体" w:hAnsi="宋体" w:eastAsia="宋体"/>
          <w:bCs/>
          <w:sz w:val="24"/>
          <w:lang w:val="en-US" w:eastAsia="zh-CN"/>
        </w:rPr>
        <w:t>0</w:t>
      </w:r>
      <w:r>
        <w:rPr>
          <w:rFonts w:hint="eastAsia" w:ascii="宋体" w:hAnsi="宋体" w:eastAsia="宋体"/>
          <w:bCs/>
          <w:sz w:val="24"/>
        </w:rPr>
        <w:t>mg/Nm³，标干烟气，实际氧）。</w:t>
      </w:r>
    </w:p>
    <w:p>
      <w:pPr>
        <w:widowControl w:val="0"/>
        <w:spacing w:after="0" w:line="360" w:lineRule="auto"/>
        <w:jc w:val="both"/>
        <w:rPr>
          <w:rFonts w:ascii="宋体" w:hAnsi="Arial" w:eastAsia="宋体" w:cs="宋体"/>
          <w:bCs/>
          <w:color w:val="000000"/>
          <w:sz w:val="24"/>
        </w:rPr>
      </w:pPr>
      <w:r>
        <w:rPr>
          <w:rFonts w:hint="eastAsia" w:ascii="宋体" w:hAnsi="Arial" w:eastAsia="宋体" w:cs="宋体"/>
          <w:bCs/>
          <w:color w:val="000000"/>
          <w:sz w:val="24"/>
        </w:rPr>
        <w:t>4.1.2 脱硫系统应达到技术先进、所有设备的制造和设计必须符合安全可靠、连续有效运行的要求，整套脱硫、除尘装置在正式移交后应保证100%的投运率。</w:t>
      </w:r>
    </w:p>
    <w:p>
      <w:pPr>
        <w:widowControl w:val="0"/>
        <w:spacing w:after="0" w:line="360" w:lineRule="auto"/>
        <w:jc w:val="both"/>
        <w:rPr>
          <w:rFonts w:ascii="宋体" w:hAnsi="Arial" w:eastAsia="宋体" w:cs="宋体"/>
          <w:bCs/>
          <w:color w:val="000000"/>
          <w:sz w:val="24"/>
        </w:rPr>
      </w:pPr>
      <w:r>
        <w:rPr>
          <w:rFonts w:hint="eastAsia" w:ascii="宋体" w:hAnsi="Arial" w:eastAsia="宋体" w:cs="宋体"/>
          <w:bCs/>
          <w:color w:val="000000"/>
          <w:sz w:val="24"/>
        </w:rPr>
        <w:t>4.1.3 全套系统由脱硫装置、除尘装置</w:t>
      </w:r>
      <w:r>
        <w:rPr>
          <w:rFonts w:hint="eastAsia" w:ascii="宋体" w:hAnsi="Arial" w:eastAsia="宋体" w:cs="宋体"/>
          <w:bCs/>
          <w:color w:val="000000"/>
          <w:sz w:val="24"/>
          <w:lang w:eastAsia="zh-CN"/>
        </w:rPr>
        <w:t>、废灰输送装置等</w:t>
      </w:r>
      <w:r>
        <w:rPr>
          <w:rFonts w:hint="eastAsia" w:ascii="宋体" w:hAnsi="Arial" w:eastAsia="宋体" w:cs="宋体"/>
          <w:bCs/>
          <w:color w:val="000000"/>
          <w:sz w:val="24"/>
        </w:rPr>
        <w:t>组成。</w:t>
      </w:r>
    </w:p>
    <w:p>
      <w:pPr>
        <w:widowControl w:val="0"/>
        <w:spacing w:after="0" w:line="360" w:lineRule="auto"/>
        <w:jc w:val="both"/>
        <w:rPr>
          <w:rFonts w:ascii="宋体" w:hAnsi="宋体" w:eastAsia="宋体"/>
          <w:b/>
          <w:bCs/>
          <w:sz w:val="24"/>
        </w:rPr>
      </w:pPr>
      <w:r>
        <w:rPr>
          <w:rFonts w:hint="eastAsia" w:ascii="宋体" w:hAnsi="宋体" w:eastAsia="宋体"/>
          <w:b/>
          <w:bCs/>
          <w:sz w:val="24"/>
        </w:rPr>
        <w:t>4.2工艺流程描述</w:t>
      </w:r>
    </w:p>
    <w:p>
      <w:pPr>
        <w:widowControl w:val="0"/>
        <w:spacing w:after="0" w:line="360" w:lineRule="auto"/>
        <w:jc w:val="both"/>
        <w:rPr>
          <w:rFonts w:hint="eastAsia" w:ascii="宋体" w:hAnsi="宋体" w:eastAsia="宋体"/>
          <w:bCs/>
          <w:sz w:val="24"/>
        </w:rPr>
      </w:pPr>
      <w:r>
        <w:rPr>
          <w:rFonts w:hint="eastAsia" w:ascii="宋体" w:hAnsi="宋体" w:eastAsia="宋体"/>
          <w:bCs/>
          <w:sz w:val="24"/>
        </w:rPr>
        <w:t>主工艺路线：</w:t>
      </w:r>
      <w:r>
        <w:rPr>
          <w:rFonts w:hint="eastAsia" w:ascii="宋体" w:hAnsi="宋体" w:eastAsia="宋体"/>
          <w:bCs/>
          <w:sz w:val="24"/>
          <w:lang w:eastAsia="zh-CN"/>
        </w:rPr>
        <w:t>干熄焦放散气</w:t>
      </w:r>
      <w:r>
        <w:rPr>
          <w:rFonts w:hint="eastAsia" w:ascii="宋体" w:hAnsi="宋体" w:eastAsia="宋体"/>
          <w:bCs/>
          <w:sz w:val="24"/>
        </w:rPr>
        <w:t>烟气</w:t>
      </w:r>
      <w:r>
        <w:rPr>
          <w:rFonts w:hint="eastAsia" w:ascii="宋体" w:hAnsi="宋体" w:eastAsia="宋体"/>
          <w:bCs/>
          <w:sz w:val="24"/>
          <w:lang w:eastAsia="zh-CN"/>
        </w:rPr>
        <w:t>除尘器</w:t>
      </w:r>
      <w:r>
        <w:rPr>
          <w:rFonts w:hint="eastAsia" w:ascii="宋体" w:hAnsi="宋体" w:eastAsia="宋体"/>
          <w:bCs/>
          <w:sz w:val="24"/>
        </w:rPr>
        <w:t>出口→半干法脱硫塔→布袋除尘器→</w:t>
      </w:r>
      <w:r>
        <w:rPr>
          <w:rFonts w:hint="eastAsia" w:ascii="宋体" w:hAnsi="宋体" w:eastAsia="宋体"/>
          <w:bCs/>
          <w:sz w:val="24"/>
          <w:lang w:eastAsia="zh-CN"/>
        </w:rPr>
        <w:t>引风机</w:t>
      </w:r>
      <w:r>
        <w:rPr>
          <w:rFonts w:hint="eastAsia" w:ascii="宋体" w:hAnsi="宋体" w:eastAsia="宋体"/>
          <w:bCs/>
          <w:sz w:val="24"/>
          <w:highlight w:val="none"/>
          <w:lang w:val="en-US" w:eastAsia="zh-CN"/>
        </w:rPr>
        <w:t>(若投标方认为可以取消引风机，需投标方提供设计计算书，并承诺不会影响原干熄焦地面除尘站正常工作）</w:t>
      </w:r>
      <w:r>
        <w:rPr>
          <w:rFonts w:hint="eastAsia" w:ascii="宋体" w:hAnsi="宋体" w:eastAsia="宋体"/>
          <w:bCs/>
          <w:sz w:val="24"/>
        </w:rPr>
        <w:t>→</w:t>
      </w:r>
      <w:r>
        <w:rPr>
          <w:rFonts w:hint="eastAsia" w:ascii="宋体" w:hAnsi="宋体" w:eastAsia="宋体"/>
          <w:bCs/>
          <w:sz w:val="24"/>
          <w:lang w:eastAsia="zh-CN"/>
        </w:rPr>
        <w:t>原干熄焦地面除尘站入口</w:t>
      </w:r>
      <w:r>
        <w:rPr>
          <w:rFonts w:hint="eastAsia" w:ascii="宋体" w:hAnsi="宋体" w:eastAsia="宋体"/>
          <w:bCs/>
          <w:sz w:val="24"/>
        </w:rPr>
        <w:t>→</w:t>
      </w:r>
      <w:r>
        <w:rPr>
          <w:rFonts w:hint="eastAsia" w:ascii="宋体" w:hAnsi="宋体" w:eastAsia="宋体"/>
          <w:bCs/>
          <w:sz w:val="24"/>
          <w:lang w:eastAsia="zh-CN"/>
        </w:rPr>
        <w:t>原干熄焦地面除尘站</w:t>
      </w:r>
      <w:r>
        <w:rPr>
          <w:rFonts w:hint="eastAsia" w:ascii="宋体" w:hAnsi="宋体" w:eastAsia="宋体"/>
          <w:bCs/>
          <w:sz w:val="24"/>
        </w:rPr>
        <w:t>排烟筒。</w:t>
      </w:r>
    </w:p>
    <w:p>
      <w:pPr>
        <w:widowControl w:val="0"/>
        <w:spacing w:after="0" w:line="360" w:lineRule="auto"/>
        <w:jc w:val="both"/>
        <w:rPr>
          <w:rFonts w:hint="eastAsia" w:ascii="宋体" w:hAnsi="宋体" w:eastAsia="宋体"/>
          <w:bCs/>
          <w:sz w:val="24"/>
          <w:lang w:eastAsia="zh-CN"/>
        </w:rPr>
      </w:pPr>
      <w:r>
        <w:rPr>
          <w:rFonts w:hint="eastAsia" w:ascii="宋体" w:hAnsi="宋体" w:eastAsia="宋体"/>
          <w:bCs/>
          <w:sz w:val="24"/>
          <w:lang w:eastAsia="zh-CN"/>
        </w:rPr>
        <w:t>脱硫系统出来的废灰由气力输送送至矿渣微粉系统。</w:t>
      </w:r>
    </w:p>
    <w:p>
      <w:pPr>
        <w:widowControl w:val="0"/>
        <w:spacing w:after="0" w:line="360" w:lineRule="auto"/>
        <w:jc w:val="both"/>
        <w:rPr>
          <w:rFonts w:ascii="宋体" w:hAnsi="宋体" w:eastAsia="宋体" w:cs="Arial"/>
          <w:b/>
          <w:color w:val="000000"/>
          <w:sz w:val="24"/>
          <w:szCs w:val="20"/>
        </w:rPr>
      </w:pPr>
      <w:r>
        <w:rPr>
          <w:rFonts w:hint="eastAsia" w:ascii="宋体" w:hAnsi="宋体" w:eastAsia="宋体" w:cs="Arial"/>
          <w:b/>
          <w:color w:val="000000"/>
          <w:sz w:val="24"/>
          <w:szCs w:val="20"/>
        </w:rPr>
        <w:t>4.3总体要求</w:t>
      </w:r>
    </w:p>
    <w:p>
      <w:pPr>
        <w:widowControl w:val="0"/>
        <w:spacing w:after="0" w:line="360" w:lineRule="auto"/>
        <w:jc w:val="both"/>
        <w:rPr>
          <w:rFonts w:ascii="宋体" w:hAnsi="宋体" w:eastAsia="宋体" w:cs="Arial"/>
          <w:color w:val="000000"/>
          <w:sz w:val="24"/>
          <w:szCs w:val="20"/>
        </w:rPr>
      </w:pPr>
      <w:r>
        <w:rPr>
          <w:rFonts w:hint="eastAsia" w:ascii="宋体" w:hAnsi="宋体" w:eastAsia="宋体" w:cs="Arial"/>
          <w:color w:val="000000"/>
          <w:sz w:val="24"/>
          <w:szCs w:val="20"/>
        </w:rPr>
        <w:t>4.3.1本工程脱硫除尘工艺采用钙基半干法脱硫工艺。在招标方提供的设计条件和气象、地理条件下，保证排放：超低排放装置出口 SO</w:t>
      </w:r>
      <w:r>
        <w:rPr>
          <w:rFonts w:hint="eastAsia" w:ascii="宋体" w:hAnsi="宋体" w:eastAsia="宋体" w:cs="Arial"/>
          <w:color w:val="000000"/>
          <w:sz w:val="24"/>
          <w:szCs w:val="20"/>
          <w:vertAlign w:val="subscript"/>
        </w:rPr>
        <w:t>2</w:t>
      </w:r>
      <w:r>
        <w:rPr>
          <w:rFonts w:hint="eastAsia" w:ascii="宋体" w:hAnsi="宋体" w:eastAsia="宋体" w:cs="Arial"/>
          <w:color w:val="000000"/>
          <w:sz w:val="24"/>
          <w:szCs w:val="20"/>
        </w:rPr>
        <w:t>浓度≤3</w:t>
      </w:r>
      <w:r>
        <w:rPr>
          <w:rFonts w:hint="eastAsia" w:ascii="宋体" w:hAnsi="宋体" w:eastAsia="宋体" w:cs="Arial"/>
          <w:color w:val="000000"/>
          <w:sz w:val="24"/>
          <w:szCs w:val="20"/>
          <w:lang w:val="en-US" w:eastAsia="zh-CN"/>
        </w:rPr>
        <w:t>0</w:t>
      </w:r>
      <w:r>
        <w:rPr>
          <w:rFonts w:hint="eastAsia" w:ascii="宋体" w:hAnsi="宋体" w:eastAsia="宋体" w:cs="Arial"/>
          <w:color w:val="000000"/>
          <w:sz w:val="24"/>
          <w:szCs w:val="20"/>
        </w:rPr>
        <w:t>mg/Nm</w:t>
      </w:r>
      <w:r>
        <w:rPr>
          <w:rFonts w:hint="eastAsia" w:ascii="宋体" w:hAnsi="宋体" w:eastAsia="宋体" w:cs="Arial"/>
          <w:color w:val="000000"/>
          <w:sz w:val="24"/>
          <w:szCs w:val="20"/>
          <w:vertAlign w:val="superscript"/>
        </w:rPr>
        <w:t>3</w:t>
      </w:r>
      <w:r>
        <w:rPr>
          <w:rFonts w:hint="eastAsia" w:ascii="宋体" w:hAnsi="宋体" w:eastAsia="宋体" w:cs="Arial"/>
          <w:color w:val="000000"/>
          <w:sz w:val="24"/>
          <w:szCs w:val="20"/>
        </w:rPr>
        <w:t>（干标，实际氧）、出口粉尘浓度≤</w:t>
      </w:r>
      <w:r>
        <w:rPr>
          <w:rFonts w:hint="eastAsia" w:ascii="宋体" w:hAnsi="宋体" w:eastAsia="宋体" w:cs="Arial"/>
          <w:color w:val="000000"/>
          <w:sz w:val="24"/>
          <w:szCs w:val="20"/>
          <w:lang w:val="en-US" w:eastAsia="zh-CN"/>
        </w:rPr>
        <w:t>10</w:t>
      </w:r>
      <w:r>
        <w:rPr>
          <w:rFonts w:hint="eastAsia" w:ascii="宋体" w:hAnsi="宋体" w:eastAsia="宋体" w:cs="Arial"/>
          <w:color w:val="000000"/>
          <w:sz w:val="24"/>
          <w:szCs w:val="20"/>
        </w:rPr>
        <w:t>mg/Nm</w:t>
      </w:r>
      <w:r>
        <w:rPr>
          <w:rFonts w:hint="eastAsia" w:ascii="宋体" w:hAnsi="宋体" w:eastAsia="宋体" w:cs="Arial"/>
          <w:color w:val="000000"/>
          <w:sz w:val="24"/>
          <w:szCs w:val="20"/>
          <w:vertAlign w:val="superscript"/>
        </w:rPr>
        <w:t>3</w:t>
      </w:r>
      <w:r>
        <w:rPr>
          <w:rFonts w:hint="eastAsia" w:ascii="宋体" w:hAnsi="宋体" w:eastAsia="宋体" w:cs="Arial"/>
          <w:color w:val="000000"/>
          <w:sz w:val="24"/>
          <w:szCs w:val="20"/>
        </w:rPr>
        <w:t>（干标，实际氧）。</w:t>
      </w:r>
    </w:p>
    <w:p>
      <w:pPr>
        <w:widowControl w:val="0"/>
        <w:spacing w:after="0" w:line="360" w:lineRule="auto"/>
        <w:jc w:val="both"/>
        <w:rPr>
          <w:rFonts w:ascii="宋体" w:hAnsi="宋体" w:eastAsia="宋体" w:cs="Arial"/>
          <w:color w:val="000000"/>
          <w:sz w:val="24"/>
          <w:szCs w:val="20"/>
        </w:rPr>
      </w:pPr>
      <w:r>
        <w:rPr>
          <w:rFonts w:hint="eastAsia" w:ascii="宋体" w:hAnsi="宋体" w:eastAsia="宋体" w:cs="Arial"/>
          <w:color w:val="000000"/>
          <w:sz w:val="24"/>
          <w:szCs w:val="20"/>
        </w:rPr>
        <w:t>4.3.2半干法装置均采用负压运行方式，</w:t>
      </w:r>
      <w:r>
        <w:rPr>
          <w:rFonts w:hint="eastAsia" w:ascii="宋体" w:hAnsi="宋体" w:eastAsia="宋体" w:cs="Arial"/>
          <w:color w:val="000000"/>
          <w:sz w:val="24"/>
          <w:szCs w:val="20"/>
          <w:lang w:eastAsia="zh-CN"/>
        </w:rPr>
        <w:t>从干熄焦放散烟气除尘器出口引出的烟气，</w:t>
      </w:r>
      <w:r>
        <w:rPr>
          <w:rFonts w:hint="eastAsia" w:ascii="宋体" w:hAnsi="宋体" w:eastAsia="宋体" w:cs="Arial"/>
          <w:color w:val="000000"/>
          <w:sz w:val="24"/>
          <w:szCs w:val="20"/>
        </w:rPr>
        <w:t>经过脱硫除尘系统后送</w:t>
      </w:r>
      <w:r>
        <w:rPr>
          <w:rFonts w:hint="eastAsia" w:ascii="宋体" w:hAnsi="宋体" w:eastAsia="宋体" w:cs="Arial"/>
          <w:color w:val="000000"/>
          <w:sz w:val="24"/>
          <w:szCs w:val="20"/>
          <w:lang w:eastAsia="zh-CN"/>
        </w:rPr>
        <w:t>至干熄焦地面除尘站入口，经干熄焦地面除尘站布袋除尘后送至干熄焦地面除尘站</w:t>
      </w:r>
      <w:r>
        <w:rPr>
          <w:rFonts w:hint="eastAsia" w:ascii="宋体" w:hAnsi="宋体" w:eastAsia="宋体" w:cs="Arial"/>
          <w:color w:val="000000"/>
          <w:sz w:val="24"/>
          <w:szCs w:val="20"/>
        </w:rPr>
        <w:t>原烟囱达标排放。</w:t>
      </w:r>
    </w:p>
    <w:p>
      <w:pPr>
        <w:widowControl w:val="0"/>
        <w:spacing w:after="0" w:line="360" w:lineRule="auto"/>
        <w:jc w:val="both"/>
        <w:rPr>
          <w:rFonts w:ascii="宋体" w:hAnsi="宋体" w:eastAsia="宋体" w:cs="Arial"/>
          <w:color w:val="000000"/>
          <w:sz w:val="24"/>
          <w:szCs w:val="20"/>
        </w:rPr>
      </w:pPr>
      <w:r>
        <w:rPr>
          <w:rFonts w:hint="eastAsia" w:ascii="宋体" w:hAnsi="宋体" w:eastAsia="宋体" w:cs="Arial"/>
          <w:color w:val="000000"/>
          <w:sz w:val="24"/>
          <w:szCs w:val="20"/>
        </w:rPr>
        <w:t>4.3.3脱硫系统不得影响</w:t>
      </w:r>
      <w:r>
        <w:rPr>
          <w:rFonts w:hint="eastAsia" w:ascii="宋体" w:hAnsi="宋体" w:eastAsia="宋体" w:cs="Arial"/>
          <w:color w:val="000000"/>
          <w:sz w:val="24"/>
          <w:szCs w:val="20"/>
          <w:lang w:eastAsia="zh-CN"/>
        </w:rPr>
        <w:t>干熄焦</w:t>
      </w:r>
      <w:r>
        <w:rPr>
          <w:rFonts w:hint="eastAsia" w:ascii="宋体" w:hAnsi="宋体" w:eastAsia="宋体" w:cs="Arial"/>
          <w:color w:val="000000"/>
          <w:sz w:val="24"/>
          <w:szCs w:val="20"/>
        </w:rPr>
        <w:t>的生产,不能增加</w:t>
      </w:r>
      <w:r>
        <w:rPr>
          <w:rFonts w:hint="eastAsia" w:ascii="宋体" w:hAnsi="宋体" w:eastAsia="宋体" w:cs="Arial"/>
          <w:color w:val="000000"/>
          <w:sz w:val="24"/>
          <w:szCs w:val="20"/>
          <w:lang w:eastAsia="zh-CN"/>
        </w:rPr>
        <w:t>干熄焦地面除尘站的</w:t>
      </w:r>
      <w:r>
        <w:rPr>
          <w:rFonts w:hint="eastAsia" w:ascii="宋体" w:hAnsi="宋体" w:eastAsia="宋体" w:cs="Arial"/>
          <w:color w:val="000000"/>
          <w:sz w:val="24"/>
          <w:szCs w:val="20"/>
        </w:rPr>
        <w:t>阻力。脱硫系统</w:t>
      </w:r>
      <w:r>
        <w:rPr>
          <w:rFonts w:hint="eastAsia" w:ascii="宋体" w:hAnsi="宋体" w:eastAsia="宋体" w:cs="Arial"/>
          <w:color w:val="000000"/>
          <w:sz w:val="24"/>
          <w:szCs w:val="20"/>
          <w:lang w:eastAsia="zh-CN"/>
        </w:rPr>
        <w:t>设计要考虑</w:t>
      </w:r>
      <w:r>
        <w:rPr>
          <w:rFonts w:hint="eastAsia" w:ascii="宋体" w:hAnsi="宋体" w:eastAsia="宋体" w:cs="Arial"/>
          <w:color w:val="000000"/>
          <w:sz w:val="24"/>
          <w:szCs w:val="20"/>
        </w:rPr>
        <w:t>发生故障</w:t>
      </w:r>
      <w:r>
        <w:rPr>
          <w:rFonts w:hint="eastAsia" w:ascii="宋体" w:hAnsi="宋体" w:eastAsia="宋体" w:cs="Arial"/>
          <w:color w:val="000000"/>
          <w:sz w:val="24"/>
          <w:szCs w:val="20"/>
          <w:lang w:eastAsia="zh-CN"/>
        </w:rPr>
        <w:t>时，</w:t>
      </w:r>
      <w:r>
        <w:rPr>
          <w:rFonts w:hint="eastAsia" w:ascii="宋体" w:hAnsi="宋体" w:eastAsia="宋体" w:cs="Arial"/>
          <w:color w:val="000000"/>
          <w:sz w:val="24"/>
          <w:szCs w:val="20"/>
        </w:rPr>
        <w:t>要有快速转换的排烟通道。</w:t>
      </w:r>
    </w:p>
    <w:p>
      <w:pPr>
        <w:widowControl w:val="0"/>
        <w:spacing w:after="0" w:line="360" w:lineRule="auto"/>
        <w:jc w:val="both"/>
        <w:rPr>
          <w:rFonts w:ascii="宋体" w:hAnsi="宋体" w:eastAsia="宋体" w:cs="Arial"/>
          <w:sz w:val="24"/>
          <w:szCs w:val="20"/>
        </w:rPr>
      </w:pPr>
      <w:r>
        <w:rPr>
          <w:rFonts w:hint="eastAsia" w:ascii="宋体" w:hAnsi="宋体" w:eastAsia="宋体" w:cs="Arial"/>
          <w:sz w:val="24"/>
          <w:szCs w:val="20"/>
        </w:rPr>
        <w:t>4.3.4 因脱硫系统位于煤气区域工作，所有电气元件应采用防爆型。</w:t>
      </w:r>
    </w:p>
    <w:p>
      <w:pPr>
        <w:widowControl w:val="0"/>
        <w:spacing w:after="0" w:line="360" w:lineRule="auto"/>
        <w:jc w:val="both"/>
        <w:rPr>
          <w:rFonts w:ascii="宋体" w:hAnsi="宋体" w:eastAsia="宋体"/>
          <w:sz w:val="24"/>
        </w:rPr>
      </w:pPr>
      <w:r>
        <w:rPr>
          <w:rFonts w:hint="eastAsia" w:ascii="宋体" w:hAnsi="宋体" w:eastAsia="宋体" w:cs="Arial"/>
          <w:sz w:val="24"/>
          <w:szCs w:val="20"/>
        </w:rPr>
        <w:t>4.3.5 所有</w:t>
      </w:r>
      <w:r>
        <w:rPr>
          <w:rFonts w:hint="eastAsia" w:ascii="宋体" w:hAnsi="宋体" w:eastAsia="宋体"/>
          <w:sz w:val="24"/>
        </w:rPr>
        <w:t>电机节能要求符合GB 18613-2020《电动机能效限定值及能效等级》的有关规定，能耗等级达到二级及以上。</w:t>
      </w:r>
    </w:p>
    <w:p>
      <w:pPr>
        <w:widowControl w:val="0"/>
        <w:spacing w:after="0" w:line="360" w:lineRule="auto"/>
        <w:jc w:val="both"/>
        <w:rPr>
          <w:rFonts w:ascii="宋体" w:hAnsi="宋体" w:eastAsia="宋体" w:cs="Arial"/>
          <w:b/>
          <w:color w:val="000000"/>
          <w:sz w:val="24"/>
          <w:szCs w:val="20"/>
        </w:rPr>
      </w:pPr>
      <w:r>
        <w:rPr>
          <w:rFonts w:hint="eastAsia" w:ascii="宋体" w:hAnsi="宋体" w:eastAsia="宋体" w:cs="Arial"/>
          <w:b/>
          <w:color w:val="000000"/>
          <w:sz w:val="24"/>
          <w:szCs w:val="20"/>
        </w:rPr>
        <w:t>4.4 对脱硫装置的工艺要求</w:t>
      </w:r>
    </w:p>
    <w:p>
      <w:pPr>
        <w:widowControl w:val="0"/>
        <w:spacing w:after="0" w:line="360" w:lineRule="auto"/>
        <w:jc w:val="both"/>
        <w:rPr>
          <w:rFonts w:ascii="宋体" w:hAnsi="宋体" w:eastAsia="宋体" w:cs="Arial"/>
          <w:sz w:val="24"/>
          <w:szCs w:val="20"/>
        </w:rPr>
      </w:pPr>
      <w:r>
        <w:rPr>
          <w:rFonts w:hint="eastAsia" w:ascii="宋体" w:hAnsi="宋体" w:eastAsia="宋体" w:cs="Arial"/>
          <w:sz w:val="24"/>
          <w:szCs w:val="20"/>
        </w:rPr>
        <w:t>4.4.1所选用的半干法脱硫工艺，其负荷范围应能满足</w:t>
      </w:r>
      <w:r>
        <w:rPr>
          <w:rFonts w:hint="eastAsia" w:ascii="宋体" w:hAnsi="宋体" w:eastAsia="宋体" w:cs="Arial"/>
          <w:sz w:val="24"/>
          <w:szCs w:val="20"/>
          <w:lang w:eastAsia="zh-CN"/>
        </w:rPr>
        <w:t>干熄焦放散</w:t>
      </w:r>
      <w:r>
        <w:rPr>
          <w:rFonts w:hint="eastAsia" w:ascii="宋体" w:hAnsi="宋体" w:eastAsia="宋体" w:cs="Arial"/>
          <w:sz w:val="24"/>
          <w:szCs w:val="20"/>
        </w:rPr>
        <w:t>烟气负荷在 30%～120%负荷变化，在负荷调整时有良好的、适宜的调节特性，在</w:t>
      </w:r>
      <w:r>
        <w:rPr>
          <w:rFonts w:hint="eastAsia" w:ascii="宋体" w:hAnsi="宋体" w:eastAsia="宋体" w:cs="Arial"/>
          <w:sz w:val="24"/>
          <w:szCs w:val="20"/>
          <w:lang w:eastAsia="zh-CN"/>
        </w:rPr>
        <w:t>干熄焦</w:t>
      </w:r>
      <w:r>
        <w:rPr>
          <w:rFonts w:hint="eastAsia" w:ascii="宋体" w:hAnsi="宋体" w:eastAsia="宋体" w:cs="Arial"/>
          <w:sz w:val="24"/>
          <w:szCs w:val="20"/>
        </w:rPr>
        <w:t>运行的条件下能可靠和稳定地连续运行。</w:t>
      </w:r>
    </w:p>
    <w:p>
      <w:pPr>
        <w:widowControl w:val="0"/>
        <w:spacing w:after="0" w:line="360" w:lineRule="auto"/>
        <w:jc w:val="both"/>
        <w:rPr>
          <w:rFonts w:ascii="宋体" w:hAnsi="宋体" w:eastAsia="宋体" w:cs="Arial"/>
          <w:sz w:val="24"/>
          <w:szCs w:val="20"/>
        </w:rPr>
      </w:pPr>
      <w:r>
        <w:rPr>
          <w:rFonts w:hint="eastAsia" w:ascii="宋体" w:hAnsi="宋体" w:eastAsia="宋体" w:cs="Arial"/>
          <w:sz w:val="24"/>
          <w:szCs w:val="20"/>
        </w:rPr>
        <w:t>4.4.2半干法脱硫装置投运时，</w:t>
      </w:r>
      <w:r>
        <w:rPr>
          <w:rFonts w:hint="eastAsia" w:ascii="宋体" w:hAnsi="宋体" w:eastAsia="宋体" w:cs="Arial"/>
          <w:sz w:val="24"/>
          <w:szCs w:val="20"/>
          <w:highlight w:val="none"/>
        </w:rPr>
        <w:t>脱硫后引</w:t>
      </w:r>
      <w:r>
        <w:rPr>
          <w:rFonts w:hint="eastAsia" w:ascii="宋体" w:hAnsi="宋体" w:eastAsia="宋体" w:cs="Arial"/>
          <w:sz w:val="24"/>
          <w:szCs w:val="20"/>
          <w:highlight w:val="none"/>
          <w:lang w:eastAsia="zh-CN"/>
        </w:rPr>
        <w:t>入干熄焦环境除尘</w:t>
      </w:r>
      <w:r>
        <w:rPr>
          <w:rFonts w:hint="eastAsia" w:ascii="宋体" w:hAnsi="宋体" w:eastAsia="宋体" w:cs="Arial"/>
          <w:sz w:val="24"/>
          <w:szCs w:val="20"/>
          <w:highlight w:val="none"/>
        </w:rPr>
        <w:t>入口处</w:t>
      </w:r>
      <w:r>
        <w:rPr>
          <w:rFonts w:hint="eastAsia" w:ascii="宋体" w:hAnsi="宋体" w:eastAsia="宋体" w:cs="Arial"/>
          <w:sz w:val="24"/>
          <w:szCs w:val="20"/>
          <w:highlight w:val="none"/>
          <w:lang w:eastAsia="zh-CN"/>
        </w:rPr>
        <w:t>的</w:t>
      </w:r>
      <w:r>
        <w:rPr>
          <w:rFonts w:hint="eastAsia" w:ascii="宋体" w:hAnsi="宋体" w:eastAsia="宋体" w:cs="Arial"/>
          <w:sz w:val="24"/>
          <w:szCs w:val="20"/>
        </w:rPr>
        <w:t>烟气温度高于烟气露点温度 20℃以上。</w:t>
      </w:r>
    </w:p>
    <w:p>
      <w:pPr>
        <w:widowControl w:val="0"/>
        <w:spacing w:after="0" w:line="360" w:lineRule="auto"/>
        <w:jc w:val="both"/>
        <w:rPr>
          <w:rFonts w:ascii="宋体" w:hAnsi="宋体" w:eastAsia="宋体" w:cs="Arial"/>
          <w:color w:val="00B0F0"/>
          <w:sz w:val="24"/>
          <w:szCs w:val="20"/>
        </w:rPr>
      </w:pPr>
      <w:r>
        <w:rPr>
          <w:rFonts w:hint="eastAsia" w:ascii="宋体" w:hAnsi="宋体" w:eastAsia="宋体" w:cs="Arial"/>
          <w:sz w:val="24"/>
          <w:szCs w:val="20"/>
        </w:rPr>
        <w:t>4.4.3脱硫系统应有在不同负荷运行时保证吸收塔内正常流化以及保证脱硫效率的措施。</w:t>
      </w:r>
    </w:p>
    <w:p>
      <w:pPr>
        <w:widowControl w:val="0"/>
        <w:spacing w:after="0" w:line="360" w:lineRule="auto"/>
        <w:jc w:val="both"/>
        <w:rPr>
          <w:rFonts w:ascii="宋体" w:hAnsi="宋体" w:eastAsia="宋体" w:cs="Arial"/>
          <w:sz w:val="24"/>
          <w:szCs w:val="20"/>
        </w:rPr>
      </w:pPr>
      <w:r>
        <w:rPr>
          <w:rFonts w:hint="eastAsia" w:ascii="宋体" w:hAnsi="宋体" w:eastAsia="宋体" w:cs="Arial"/>
          <w:sz w:val="24"/>
          <w:szCs w:val="20"/>
        </w:rPr>
        <w:t>4.4.4 脱硫装置如有污水产生，应做到达标排放（按中国最新版本环保污水综合标准一级标准执行）。</w:t>
      </w:r>
    </w:p>
    <w:p>
      <w:pPr>
        <w:widowControl w:val="0"/>
        <w:spacing w:after="0" w:line="360" w:lineRule="auto"/>
        <w:jc w:val="both"/>
        <w:rPr>
          <w:rFonts w:ascii="宋体" w:hAnsi="宋体" w:eastAsia="宋体" w:cs="Arial"/>
          <w:sz w:val="24"/>
          <w:szCs w:val="20"/>
        </w:rPr>
      </w:pPr>
      <w:r>
        <w:rPr>
          <w:rFonts w:hint="eastAsia" w:ascii="宋体" w:hAnsi="宋体" w:eastAsia="宋体" w:cs="Arial"/>
          <w:sz w:val="24"/>
          <w:szCs w:val="20"/>
        </w:rPr>
        <w:t>4.4.5 半干法脱硫装置产生的干灰采用正压浓相气力输灰系统输送至脱硫灰库。脱硫系统至少配一套外排灰气力输送系统，</w:t>
      </w:r>
      <w:r>
        <w:rPr>
          <w:rFonts w:hint="eastAsia" w:ascii="宋体" w:hAnsi="宋体" w:eastAsia="宋体" w:cs="Arial"/>
          <w:sz w:val="24"/>
          <w:szCs w:val="20"/>
          <w:lang w:eastAsia="zh-CN"/>
        </w:rPr>
        <w:t>把脱硫废灰输送至矿渣微粉区域，</w:t>
      </w:r>
      <w:r>
        <w:rPr>
          <w:rFonts w:hint="eastAsia" w:ascii="宋体" w:hAnsi="宋体" w:eastAsia="宋体" w:cs="Arial"/>
          <w:sz w:val="24"/>
          <w:szCs w:val="20"/>
        </w:rPr>
        <w:t>气力输送系统应采用正压浓相仓泵输送方式，并设有清堵装置；每套系统出力为设计灰量的 200%。</w:t>
      </w:r>
    </w:p>
    <w:p>
      <w:pPr>
        <w:widowControl w:val="0"/>
        <w:spacing w:after="0" w:line="360" w:lineRule="auto"/>
        <w:jc w:val="both"/>
        <w:rPr>
          <w:rFonts w:ascii="宋体" w:hAnsi="Arial" w:eastAsia="宋体" w:cs="宋体"/>
          <w:b/>
          <w:bCs/>
          <w:color w:val="000000"/>
          <w:sz w:val="24"/>
        </w:rPr>
      </w:pPr>
      <w:r>
        <w:rPr>
          <w:rFonts w:hint="eastAsia" w:ascii="宋体" w:hAnsi="Arial" w:eastAsia="宋体" w:cs="宋体"/>
          <w:b/>
          <w:bCs/>
          <w:color w:val="000000"/>
          <w:sz w:val="24"/>
        </w:rPr>
        <w:t>4.5 对脱硫装置的技术要求</w:t>
      </w:r>
    </w:p>
    <w:p>
      <w:pPr>
        <w:widowControl w:val="0"/>
        <w:spacing w:after="0" w:line="360" w:lineRule="auto"/>
        <w:jc w:val="both"/>
        <w:rPr>
          <w:rFonts w:ascii="宋体" w:hAnsi="Arial" w:eastAsia="宋体" w:cs="宋体"/>
          <w:bCs/>
          <w:color w:val="000000"/>
          <w:sz w:val="24"/>
        </w:rPr>
      </w:pPr>
      <w:r>
        <w:rPr>
          <w:rFonts w:hint="eastAsia" w:ascii="宋体" w:hAnsi="Arial" w:eastAsia="宋体" w:cs="宋体"/>
          <w:bCs/>
          <w:color w:val="000000"/>
          <w:sz w:val="24"/>
        </w:rPr>
        <w:t>4.5.1 脱硫装置由脱硫剂仓、脱硫剂输送装置、吸收塔组成。</w:t>
      </w:r>
    </w:p>
    <w:p>
      <w:pPr>
        <w:widowControl w:val="0"/>
        <w:spacing w:after="0" w:line="360" w:lineRule="auto"/>
        <w:jc w:val="both"/>
        <w:rPr>
          <w:rFonts w:ascii="宋体" w:hAnsi="Arial" w:eastAsia="宋体" w:cs="宋体"/>
          <w:bCs/>
          <w:color w:val="000000"/>
          <w:sz w:val="24"/>
        </w:rPr>
      </w:pPr>
      <w:r>
        <w:rPr>
          <w:rFonts w:hint="eastAsia" w:ascii="宋体" w:hAnsi="Arial" w:eastAsia="宋体" w:cs="宋体"/>
          <w:bCs/>
          <w:color w:val="000000"/>
          <w:sz w:val="24"/>
        </w:rPr>
        <w:t>4.5.2 脱硫剂仓的容积确保5天的正常使用量。脱硫剂仓应保证吸收剂粉流化均匀，出料顺畅，不淤、不堵，应采用流化装置。仓顶部应设除尘排气装置。脱硫剂仓应采用防冻、防板结、防止下料不畅的专项措施。脱硫剂仓应设有称重传感器，可以定量检测灰仓中石灰</w:t>
      </w:r>
      <w:r>
        <w:rPr>
          <w:rFonts w:hint="eastAsia" w:ascii="宋体" w:hAnsi="Arial" w:eastAsia="宋体" w:cs="宋体"/>
          <w:bCs/>
          <w:color w:val="000000"/>
          <w:sz w:val="24"/>
          <w:lang w:eastAsia="zh-CN"/>
        </w:rPr>
        <w:t>库存</w:t>
      </w:r>
      <w:r>
        <w:rPr>
          <w:rFonts w:hint="eastAsia" w:ascii="宋体" w:hAnsi="Arial" w:eastAsia="宋体" w:cs="宋体"/>
          <w:bCs/>
          <w:color w:val="000000"/>
          <w:sz w:val="24"/>
        </w:rPr>
        <w:t>量。</w:t>
      </w:r>
    </w:p>
    <w:p>
      <w:pPr>
        <w:widowControl w:val="0"/>
        <w:spacing w:after="0" w:line="360" w:lineRule="auto"/>
        <w:jc w:val="both"/>
        <w:rPr>
          <w:rFonts w:ascii="宋体" w:hAnsi="Arial" w:eastAsia="宋体" w:cs="宋体"/>
          <w:bCs/>
          <w:color w:val="000000"/>
          <w:sz w:val="24"/>
        </w:rPr>
      </w:pPr>
      <w:r>
        <w:rPr>
          <w:rFonts w:hint="eastAsia" w:ascii="宋体" w:hAnsi="Arial" w:eastAsia="宋体" w:cs="宋体"/>
          <w:bCs/>
          <w:color w:val="000000"/>
          <w:sz w:val="24"/>
        </w:rPr>
        <w:t>4.5.3 为保证脱硫反应进行的顺利和完全，吸收塔设计必须满足烟气流速和停留时间的要求，达到脱硫系统设计的脱硫效率。</w:t>
      </w:r>
    </w:p>
    <w:p>
      <w:pPr>
        <w:widowControl w:val="0"/>
        <w:spacing w:after="0" w:line="360" w:lineRule="auto"/>
        <w:jc w:val="both"/>
        <w:rPr>
          <w:rFonts w:ascii="宋体" w:hAnsi="Arial" w:eastAsia="宋体" w:cs="宋体"/>
          <w:bCs/>
          <w:color w:val="000000"/>
          <w:sz w:val="24"/>
        </w:rPr>
      </w:pPr>
      <w:r>
        <w:rPr>
          <w:rFonts w:hint="eastAsia" w:ascii="宋体" w:hAnsi="Arial" w:eastAsia="宋体" w:cs="宋体"/>
          <w:bCs/>
          <w:color w:val="000000"/>
          <w:sz w:val="24"/>
        </w:rPr>
        <w:t>4.5.4 负荷范围与</w:t>
      </w:r>
      <w:r>
        <w:rPr>
          <w:rFonts w:hint="eastAsia" w:ascii="宋体" w:hAnsi="Arial" w:eastAsia="宋体" w:cs="宋体"/>
          <w:bCs/>
          <w:color w:val="000000"/>
          <w:sz w:val="24"/>
          <w:lang w:eastAsia="zh-CN"/>
        </w:rPr>
        <w:t>干熄焦放散气</w:t>
      </w:r>
      <w:r>
        <w:rPr>
          <w:rFonts w:hint="eastAsia" w:ascii="宋体" w:hAnsi="Arial" w:eastAsia="宋体" w:cs="宋体"/>
          <w:bCs/>
          <w:color w:val="000000"/>
          <w:sz w:val="24"/>
        </w:rPr>
        <w:t>负荷范围相协调，满足任意工况的负荷要求。在负荷调整时有调节特性，在运行的条件下能可靠和稳定地连续运行。脱硫除尘装置的设计和运行应能快速响应</w:t>
      </w:r>
      <w:r>
        <w:rPr>
          <w:rFonts w:hint="eastAsia" w:ascii="宋体" w:hAnsi="Arial" w:eastAsia="宋体" w:cs="宋体"/>
          <w:bCs/>
          <w:color w:val="000000"/>
          <w:sz w:val="24"/>
          <w:lang w:eastAsia="zh-CN"/>
        </w:rPr>
        <w:t>干熄焦</w:t>
      </w:r>
      <w:r>
        <w:rPr>
          <w:rFonts w:hint="eastAsia" w:ascii="宋体" w:hAnsi="Arial" w:eastAsia="宋体" w:cs="宋体"/>
          <w:bCs/>
          <w:color w:val="000000"/>
          <w:sz w:val="24"/>
        </w:rPr>
        <w:t>负荷变化。</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4.5.5 应配备流化风机。所有流化风机采取降噪措施。</w:t>
      </w:r>
    </w:p>
    <w:p>
      <w:pPr>
        <w:widowControl w:val="0"/>
        <w:spacing w:after="0" w:line="360" w:lineRule="auto"/>
        <w:jc w:val="both"/>
        <w:rPr>
          <w:rFonts w:ascii="宋体" w:hAnsi="宋体" w:eastAsia="宋体" w:cs="Arial"/>
          <w:sz w:val="24"/>
          <w:szCs w:val="20"/>
        </w:rPr>
      </w:pPr>
      <w:r>
        <w:rPr>
          <w:rFonts w:hint="eastAsia" w:ascii="宋体" w:hAnsi="宋体" w:eastAsia="宋体" w:cs="Arial"/>
          <w:sz w:val="24"/>
          <w:szCs w:val="20"/>
        </w:rPr>
        <w:t xml:space="preserve">4.5.6 </w:t>
      </w:r>
      <w:r>
        <w:rPr>
          <w:rFonts w:hint="eastAsia" w:ascii="宋体" w:hAnsi="宋体" w:eastAsia="宋体" w:cs="Arial"/>
          <w:sz w:val="24"/>
          <w:szCs w:val="20"/>
          <w:highlight w:val="none"/>
        </w:rPr>
        <w:t>脱硫装置尾部设置引风机</w:t>
      </w:r>
      <w:r>
        <w:rPr>
          <w:rFonts w:hint="eastAsia" w:ascii="宋体" w:hAnsi="宋体" w:eastAsia="宋体"/>
          <w:bCs/>
          <w:sz w:val="24"/>
          <w:highlight w:val="none"/>
          <w:lang w:val="en-US" w:eastAsia="zh-CN"/>
        </w:rPr>
        <w:t>(若投标方认为可以取消引风机，需投标方提供设计计算书，并承诺不会影响原干熄焦地面除尘站正常工作）</w:t>
      </w:r>
      <w:r>
        <w:rPr>
          <w:rFonts w:hint="eastAsia" w:ascii="宋体" w:hAnsi="宋体" w:eastAsia="宋体" w:cs="Arial"/>
          <w:sz w:val="24"/>
          <w:szCs w:val="20"/>
          <w:highlight w:val="none"/>
        </w:rPr>
        <w:t>。</w:t>
      </w:r>
      <w:r>
        <w:rPr>
          <w:rFonts w:hint="eastAsia" w:ascii="宋体" w:hAnsi="宋体" w:eastAsia="宋体" w:cs="Arial"/>
          <w:sz w:val="24"/>
          <w:szCs w:val="20"/>
        </w:rPr>
        <w:t>引风机应能满足正常运行和异常情况下的最大流量、最高温度和最大压损。具备事故情况下的紧急切换处理。</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4.5.7在距脱硫装置1米处（含流化风机、引风机等设备和装置），噪音不得大于85dBA。</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4.5.8 脱硫装置的检修期应与</w:t>
      </w:r>
      <w:r>
        <w:rPr>
          <w:rFonts w:hint="eastAsia" w:ascii="宋体" w:hAnsi="Arial" w:eastAsia="宋体" w:cs="宋体"/>
          <w:bCs/>
          <w:sz w:val="24"/>
          <w:lang w:eastAsia="zh-CN"/>
        </w:rPr>
        <w:t>干熄焦</w:t>
      </w:r>
      <w:r>
        <w:rPr>
          <w:rFonts w:hint="eastAsia" w:ascii="宋体" w:hAnsi="Arial" w:eastAsia="宋体" w:cs="宋体"/>
          <w:bCs/>
          <w:sz w:val="24"/>
        </w:rPr>
        <w:t>检修一致。</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4.5.9 脱硫装置的使用寿命不小于20年。</w:t>
      </w:r>
    </w:p>
    <w:p>
      <w:pPr>
        <w:widowControl w:val="0"/>
        <w:spacing w:after="0" w:line="360" w:lineRule="auto"/>
        <w:jc w:val="both"/>
        <w:rPr>
          <w:rFonts w:ascii="宋体" w:hAnsi="宋体" w:eastAsia="宋体"/>
          <w:b/>
          <w:bCs/>
          <w:sz w:val="24"/>
        </w:rPr>
      </w:pPr>
      <w:r>
        <w:rPr>
          <w:rFonts w:hint="eastAsia" w:ascii="宋体" w:hAnsi="宋体" w:eastAsia="宋体" w:cs="Arial"/>
          <w:b/>
          <w:sz w:val="24"/>
          <w:szCs w:val="20"/>
        </w:rPr>
        <w:t>4.6</w:t>
      </w:r>
      <w:r>
        <w:rPr>
          <w:rFonts w:hint="eastAsia" w:ascii="宋体" w:hAnsi="宋体" w:eastAsia="宋体"/>
          <w:b/>
          <w:bCs/>
          <w:sz w:val="24"/>
        </w:rPr>
        <w:t>对吸收塔的工艺要求</w:t>
      </w:r>
    </w:p>
    <w:p>
      <w:pPr>
        <w:widowControl w:val="0"/>
        <w:spacing w:after="0" w:line="360" w:lineRule="auto"/>
        <w:jc w:val="both"/>
        <w:rPr>
          <w:rFonts w:ascii="宋体" w:hAnsi="宋体" w:eastAsia="宋体" w:cs="Arial"/>
          <w:color w:val="000000"/>
          <w:sz w:val="24"/>
          <w:szCs w:val="20"/>
        </w:rPr>
      </w:pPr>
      <w:r>
        <w:rPr>
          <w:rFonts w:hint="eastAsia" w:ascii="宋体" w:hAnsi="宋体" w:eastAsia="宋体" w:cs="Arial"/>
          <w:color w:val="000000"/>
          <w:sz w:val="24"/>
          <w:szCs w:val="20"/>
        </w:rPr>
        <w:t>4.6.1 吸收塔内介质流动性好，化学反应进行彻底。吸收塔内部材料应能经受混合物的剧烈摩擦，内壁还应避免混合物的粘结。</w:t>
      </w:r>
    </w:p>
    <w:p>
      <w:pPr>
        <w:widowControl w:val="0"/>
        <w:spacing w:after="0" w:line="360" w:lineRule="auto"/>
        <w:jc w:val="both"/>
        <w:rPr>
          <w:rFonts w:ascii="宋体" w:hAnsi="宋体" w:eastAsia="宋体" w:cs="Arial"/>
          <w:sz w:val="24"/>
          <w:szCs w:val="20"/>
        </w:rPr>
      </w:pPr>
      <w:r>
        <w:rPr>
          <w:rFonts w:hint="eastAsia" w:ascii="宋体" w:hAnsi="宋体" w:eastAsia="宋体" w:cs="Arial"/>
          <w:sz w:val="24"/>
          <w:szCs w:val="20"/>
        </w:rPr>
        <w:t>4.6.2采用生石灰粉（CaO）作为吸收剂的原料，由配套的生石灰消化后，生成的消石灰干粉输送至消石灰仓；然后根据脱硫需要，计量调节吸收剂加入到吸收塔中进行脱硫反应。</w:t>
      </w:r>
    </w:p>
    <w:p>
      <w:pPr>
        <w:widowControl w:val="0"/>
        <w:spacing w:after="0" w:line="360" w:lineRule="auto"/>
        <w:jc w:val="both"/>
        <w:rPr>
          <w:rFonts w:ascii="宋体" w:hAnsi="宋体" w:eastAsia="宋体"/>
          <w:bCs/>
          <w:color w:val="000000"/>
          <w:sz w:val="24"/>
        </w:rPr>
      </w:pPr>
      <w:r>
        <w:rPr>
          <w:rFonts w:hint="eastAsia" w:ascii="宋体" w:hAnsi="宋体" w:eastAsia="宋体"/>
          <w:bCs/>
          <w:color w:val="000000"/>
          <w:sz w:val="24"/>
        </w:rPr>
        <w:t>4.6.4吸收塔应保证有足够的脱硫反应时间。</w:t>
      </w:r>
    </w:p>
    <w:p>
      <w:pPr>
        <w:widowControl w:val="0"/>
        <w:spacing w:after="0" w:line="360" w:lineRule="auto"/>
        <w:jc w:val="both"/>
        <w:rPr>
          <w:rFonts w:ascii="宋体" w:hAnsi="宋体" w:eastAsia="宋体"/>
          <w:b/>
          <w:bCs/>
          <w:color w:val="000000"/>
          <w:sz w:val="24"/>
        </w:rPr>
      </w:pPr>
      <w:r>
        <w:rPr>
          <w:rFonts w:hint="eastAsia" w:ascii="宋体" w:hAnsi="宋体" w:eastAsia="宋体"/>
          <w:b/>
          <w:bCs/>
          <w:color w:val="000000"/>
          <w:sz w:val="24"/>
        </w:rPr>
        <w:t>4.7 对吸收塔的技术要求</w:t>
      </w:r>
    </w:p>
    <w:p>
      <w:pPr>
        <w:widowControl w:val="0"/>
        <w:spacing w:after="0" w:line="360" w:lineRule="auto"/>
        <w:jc w:val="both"/>
        <w:rPr>
          <w:rFonts w:ascii="宋体" w:hAnsi="宋体" w:eastAsia="宋体"/>
          <w:bCs/>
          <w:sz w:val="24"/>
        </w:rPr>
      </w:pPr>
      <w:r>
        <w:rPr>
          <w:rFonts w:hint="eastAsia" w:ascii="宋体" w:hAnsi="宋体" w:eastAsia="宋体"/>
          <w:bCs/>
          <w:sz w:val="24"/>
        </w:rPr>
        <w:t>4.7.1 吸收塔包括吸收塔本体、生</w:t>
      </w:r>
      <w:r>
        <w:rPr>
          <w:rFonts w:hint="eastAsia" w:ascii="宋体" w:hAnsi="宋体" w:eastAsia="宋体" w:cs="Arial"/>
          <w:sz w:val="24"/>
          <w:szCs w:val="20"/>
        </w:rPr>
        <w:t>石灰消化装置、工艺水系统（含水箱）组成。</w:t>
      </w:r>
    </w:p>
    <w:p>
      <w:pPr>
        <w:widowControl w:val="0"/>
        <w:spacing w:after="0" w:line="360" w:lineRule="auto"/>
        <w:jc w:val="both"/>
        <w:rPr>
          <w:rFonts w:ascii="宋体" w:hAnsi="宋体" w:eastAsia="宋体"/>
          <w:bCs/>
          <w:sz w:val="24"/>
        </w:rPr>
      </w:pPr>
      <w:r>
        <w:rPr>
          <w:rFonts w:hint="eastAsia" w:ascii="宋体" w:hAnsi="Arial" w:eastAsia="宋体" w:cs="宋体"/>
          <w:bCs/>
          <w:sz w:val="24"/>
        </w:rPr>
        <w:t>4.7.2 吸收塔</w:t>
      </w:r>
      <w:r>
        <w:rPr>
          <w:rFonts w:hint="eastAsia" w:ascii="宋体" w:hAnsi="宋体" w:eastAsia="宋体"/>
          <w:bCs/>
          <w:sz w:val="24"/>
        </w:rPr>
        <w:t>主体为碳钢结构。</w:t>
      </w:r>
    </w:p>
    <w:p>
      <w:pPr>
        <w:widowControl w:val="0"/>
        <w:spacing w:after="0" w:line="360" w:lineRule="auto"/>
        <w:jc w:val="both"/>
        <w:rPr>
          <w:rFonts w:ascii="宋体" w:hAnsi="宋体" w:eastAsia="宋体"/>
          <w:bCs/>
          <w:strike/>
          <w:color w:val="FF0000"/>
          <w:sz w:val="24"/>
        </w:rPr>
      </w:pPr>
      <w:r>
        <w:rPr>
          <w:rFonts w:hint="eastAsia" w:ascii="宋体" w:hAnsi="宋体" w:eastAsia="宋体"/>
          <w:bCs/>
          <w:color w:val="000000"/>
          <w:sz w:val="24"/>
        </w:rPr>
        <w:t>4.7.3 吸收塔底部应安装排灰装置，要避免有排灰的板结、堵塞等现象</w:t>
      </w:r>
      <w:r>
        <w:rPr>
          <w:rFonts w:hint="eastAsia" w:ascii="宋体" w:hAnsi="宋体" w:eastAsia="宋体"/>
          <w:bCs/>
          <w:sz w:val="24"/>
        </w:rPr>
        <w:t>。</w:t>
      </w:r>
    </w:p>
    <w:p>
      <w:pPr>
        <w:widowControl w:val="0"/>
        <w:spacing w:after="0" w:line="360" w:lineRule="auto"/>
        <w:jc w:val="both"/>
        <w:rPr>
          <w:rFonts w:ascii="宋体" w:hAnsi="宋体" w:eastAsia="宋体"/>
          <w:bCs/>
          <w:sz w:val="24"/>
        </w:rPr>
      </w:pPr>
      <w:r>
        <w:rPr>
          <w:rFonts w:hint="eastAsia" w:ascii="宋体" w:hAnsi="宋体" w:eastAsia="宋体"/>
          <w:bCs/>
          <w:sz w:val="24"/>
        </w:rPr>
        <w:t>4.7.4 吸收塔安装降温装置，能够满足本工程的烟气脱硫指标要求，运行安全、维护方便。</w:t>
      </w:r>
    </w:p>
    <w:p>
      <w:pPr>
        <w:widowControl w:val="0"/>
        <w:spacing w:after="0" w:line="360" w:lineRule="auto"/>
        <w:jc w:val="both"/>
        <w:rPr>
          <w:rFonts w:ascii="宋体" w:hAnsi="宋体" w:eastAsia="宋体"/>
          <w:bCs/>
          <w:sz w:val="24"/>
        </w:rPr>
      </w:pPr>
      <w:r>
        <w:rPr>
          <w:rFonts w:hint="eastAsia" w:ascii="宋体" w:hAnsi="宋体" w:eastAsia="宋体"/>
          <w:bCs/>
          <w:sz w:val="24"/>
        </w:rPr>
        <w:t>4.7.5 吸收塔壳体能承受压力、管道推力和力矩、风雪和地震荷载，以及承受所有其他作用于吸收塔上的荷载。支撑和加强件能防止塔体倾斜和晃动。</w:t>
      </w:r>
    </w:p>
    <w:p>
      <w:pPr>
        <w:widowControl w:val="0"/>
        <w:spacing w:after="0" w:line="360" w:lineRule="auto"/>
        <w:jc w:val="both"/>
        <w:rPr>
          <w:rFonts w:ascii="宋体" w:hAnsi="宋体" w:eastAsia="宋体"/>
          <w:bCs/>
          <w:sz w:val="24"/>
        </w:rPr>
      </w:pPr>
      <w:r>
        <w:rPr>
          <w:rFonts w:hint="eastAsia" w:ascii="宋体" w:hAnsi="宋体" w:eastAsia="宋体"/>
          <w:bCs/>
          <w:sz w:val="24"/>
        </w:rPr>
        <w:t>4.7.6 吸收塔系统的进、出口温度、压力的测量装置必须可靠。</w:t>
      </w:r>
    </w:p>
    <w:p>
      <w:pPr>
        <w:widowControl w:val="0"/>
        <w:spacing w:after="0" w:line="360" w:lineRule="auto"/>
        <w:jc w:val="both"/>
        <w:rPr>
          <w:rFonts w:ascii="宋体" w:hAnsi="宋体" w:eastAsia="宋体" w:cs="Arial"/>
          <w:sz w:val="24"/>
          <w:szCs w:val="20"/>
        </w:rPr>
      </w:pPr>
      <w:r>
        <w:rPr>
          <w:rFonts w:hint="eastAsia" w:ascii="宋体" w:hAnsi="宋体" w:eastAsia="宋体" w:cs="Arial"/>
          <w:sz w:val="24"/>
          <w:szCs w:val="20"/>
        </w:rPr>
        <w:t>4.7.7 工艺水箱的进口管道须设置过滤装置，过滤进入工艺水箱水源的粗颗粒。</w:t>
      </w:r>
    </w:p>
    <w:p>
      <w:pPr>
        <w:spacing w:after="0" w:line="360" w:lineRule="auto"/>
      </w:pPr>
      <w:r>
        <w:rPr>
          <w:rFonts w:hint="eastAsia" w:ascii="宋体" w:hAnsi="Arial" w:eastAsia="宋体" w:cs="宋体"/>
          <w:bCs/>
          <w:sz w:val="24"/>
        </w:rPr>
        <w:t xml:space="preserve">4.7.8 </w:t>
      </w:r>
      <w:r>
        <w:rPr>
          <w:rFonts w:hint="eastAsia" w:ascii="宋体" w:hAnsi="宋体" w:eastAsia="宋体"/>
          <w:bCs/>
          <w:sz w:val="24"/>
        </w:rPr>
        <w:t>应配备有足够数量和大小合适的人孔门，人孔门不能有泄漏，而且在塔外附近应设置走道或平台。人孔门的尺寸应易于开/关。</w:t>
      </w:r>
    </w:p>
    <w:p>
      <w:pPr>
        <w:widowControl w:val="0"/>
        <w:spacing w:after="0" w:line="360" w:lineRule="auto"/>
        <w:jc w:val="both"/>
        <w:rPr>
          <w:rFonts w:ascii="宋体" w:hAnsi="宋体" w:eastAsia="宋体"/>
          <w:bCs/>
          <w:sz w:val="24"/>
        </w:rPr>
      </w:pPr>
      <w:r>
        <w:rPr>
          <w:rFonts w:hint="eastAsia" w:ascii="宋体" w:hAnsi="宋体" w:eastAsia="宋体"/>
          <w:bCs/>
          <w:sz w:val="24"/>
        </w:rPr>
        <w:t>4.7.9 应方便检修和维护，并应设置检修维护时所必须的平台楼梯。</w:t>
      </w:r>
    </w:p>
    <w:p>
      <w:pPr>
        <w:widowControl w:val="0"/>
        <w:spacing w:after="0" w:line="360" w:lineRule="auto"/>
        <w:jc w:val="both"/>
        <w:rPr>
          <w:rFonts w:ascii="宋体" w:hAnsi="宋体" w:eastAsia="宋体"/>
          <w:b/>
          <w:bCs/>
          <w:sz w:val="24"/>
        </w:rPr>
      </w:pPr>
      <w:r>
        <w:rPr>
          <w:rFonts w:hint="eastAsia" w:ascii="宋体" w:hAnsi="宋体" w:eastAsia="宋体"/>
          <w:b/>
          <w:bCs/>
          <w:sz w:val="24"/>
        </w:rPr>
        <w:t>4.8对除尘器的工艺要求</w:t>
      </w:r>
    </w:p>
    <w:p>
      <w:pPr>
        <w:widowControl w:val="0"/>
        <w:spacing w:after="0" w:line="360" w:lineRule="auto"/>
        <w:jc w:val="both"/>
        <w:rPr>
          <w:rFonts w:ascii="宋体" w:hAnsi="宋体" w:eastAsia="宋体"/>
          <w:bCs/>
          <w:sz w:val="24"/>
        </w:rPr>
      </w:pPr>
      <w:r>
        <w:rPr>
          <w:rFonts w:hint="eastAsia" w:ascii="宋体" w:hAnsi="宋体" w:eastAsia="宋体"/>
          <w:bCs/>
          <w:sz w:val="24"/>
        </w:rPr>
        <w:t>4.8.1 布袋除尘器入口烟尘浓度按实际工况设计，布袋除尘器在脱硫和不脱硫工况下均满足出口≤</w:t>
      </w:r>
      <w:r>
        <w:rPr>
          <w:rFonts w:hint="eastAsia" w:ascii="宋体" w:hAnsi="宋体" w:eastAsia="宋体"/>
          <w:bCs/>
          <w:sz w:val="24"/>
          <w:lang w:val="en-US" w:eastAsia="zh-CN"/>
        </w:rPr>
        <w:t>10</w:t>
      </w:r>
      <w:r>
        <w:rPr>
          <w:rFonts w:hint="eastAsia" w:ascii="宋体" w:hAnsi="宋体" w:eastAsia="宋体"/>
          <w:bCs/>
          <w:sz w:val="24"/>
        </w:rPr>
        <w:t>mg/Nm</w:t>
      </w:r>
      <w:r>
        <w:rPr>
          <w:rFonts w:hint="eastAsia" w:ascii="宋体" w:hAnsi="宋体" w:eastAsia="宋体"/>
          <w:bCs/>
          <w:sz w:val="24"/>
          <w:vertAlign w:val="superscript"/>
        </w:rPr>
        <w:t>3</w:t>
      </w:r>
      <w:r>
        <w:rPr>
          <w:rFonts w:hint="eastAsia" w:ascii="宋体" w:hAnsi="宋体" w:eastAsia="宋体"/>
          <w:bCs/>
          <w:sz w:val="24"/>
        </w:rPr>
        <w:t xml:space="preserve"> 排放要求。</w:t>
      </w:r>
    </w:p>
    <w:p>
      <w:pPr>
        <w:widowControl w:val="0"/>
        <w:spacing w:after="0" w:line="360" w:lineRule="auto"/>
        <w:jc w:val="both"/>
        <w:rPr>
          <w:rFonts w:ascii="宋体" w:hAnsi="宋体" w:eastAsia="宋体"/>
          <w:bCs/>
          <w:sz w:val="24"/>
        </w:rPr>
      </w:pPr>
      <w:r>
        <w:rPr>
          <w:rFonts w:hint="eastAsia" w:ascii="宋体" w:hAnsi="宋体" w:eastAsia="宋体"/>
          <w:bCs/>
          <w:sz w:val="24"/>
        </w:rPr>
        <w:t>4.8.2 灰斗及排灰口应保证灰能自由流动排出灰斗，其标高满足物料循环回吸收塔的要求。灰斗还设有外排灰接口，该接口下方连接有仓泵，将外排灰送至脱硫灰库。</w:t>
      </w:r>
    </w:p>
    <w:p>
      <w:pPr>
        <w:widowControl w:val="0"/>
        <w:spacing w:after="0" w:line="360" w:lineRule="auto"/>
        <w:jc w:val="both"/>
        <w:rPr>
          <w:rFonts w:ascii="宋体" w:hAnsi="宋体" w:eastAsia="宋体"/>
          <w:bCs/>
          <w:sz w:val="24"/>
        </w:rPr>
      </w:pPr>
      <w:r>
        <w:rPr>
          <w:rFonts w:hint="eastAsia" w:ascii="宋体" w:hAnsi="宋体" w:eastAsia="宋体"/>
          <w:bCs/>
          <w:sz w:val="24"/>
        </w:rPr>
        <w:t>4.8.3 袋式除尘器采用半干法脱硫专用的布袋除尘器，适合高浓度、高粘度的粉尘过滤，脱硫工况过滤风速≤0.65m/min。滤袋材质连续耐温</w:t>
      </w:r>
      <w:r>
        <w:rPr>
          <w:rFonts w:hint="eastAsia" w:ascii="宋体" w:hAnsi="宋体" w:eastAsia="宋体"/>
          <w:bCs/>
          <w:sz w:val="24"/>
          <w:lang w:val="en-US" w:eastAsia="zh-CN"/>
        </w:rPr>
        <w:t>20</w:t>
      </w:r>
      <w:r>
        <w:rPr>
          <w:rFonts w:hint="eastAsia" w:ascii="宋体" w:hAnsi="宋体" w:eastAsia="宋体"/>
          <w:bCs/>
          <w:sz w:val="24"/>
        </w:rPr>
        <w:t>0℃。</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4.8.4 清灰系统的清灰是自动可调的，清灰程序、间隔、强度均可在控制柜及DCS上方便可调，</w:t>
      </w:r>
      <w:r>
        <w:rPr>
          <w:rFonts w:hint="eastAsia" w:ascii="宋体" w:hAnsi="宋体" w:eastAsia="宋体"/>
          <w:bCs/>
          <w:sz w:val="24"/>
        </w:rPr>
        <w:t>清灰用气单独配置气罐</w:t>
      </w:r>
      <w:r>
        <w:rPr>
          <w:rFonts w:hint="eastAsia" w:ascii="宋体" w:hAnsi="Arial" w:eastAsia="宋体" w:cs="宋体"/>
          <w:bCs/>
          <w:sz w:val="24"/>
        </w:rPr>
        <w:t>。</w:t>
      </w:r>
    </w:p>
    <w:p>
      <w:pPr>
        <w:widowControl w:val="0"/>
        <w:spacing w:after="0" w:line="360" w:lineRule="auto"/>
        <w:jc w:val="both"/>
        <w:rPr>
          <w:rFonts w:ascii="宋体" w:hAnsi="Arial" w:eastAsia="宋体" w:cs="宋体"/>
          <w:b/>
          <w:bCs/>
          <w:sz w:val="24"/>
        </w:rPr>
      </w:pPr>
      <w:r>
        <w:rPr>
          <w:rFonts w:hint="eastAsia" w:ascii="宋体" w:hAnsi="Arial" w:eastAsia="宋体" w:cs="宋体"/>
          <w:b/>
          <w:bCs/>
          <w:sz w:val="24"/>
        </w:rPr>
        <w:t>4.9 对除尘器设备技术要求</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4.9.1 布袋除尘器主要由灰斗、过滤室、净气室、进口烟箱、出口烟箱、低压脉冲清灰装置、电控装置、阀门及其它等部分组成。</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4.9.2 布袋除尘器在脱硫或不脱硫工况下均满足出口小于</w:t>
      </w:r>
      <w:r>
        <w:rPr>
          <w:rFonts w:hint="eastAsia" w:ascii="宋体" w:hAnsi="Arial" w:eastAsia="宋体" w:cs="宋体"/>
          <w:bCs/>
          <w:sz w:val="24"/>
          <w:lang w:val="en-US" w:eastAsia="zh-CN"/>
        </w:rPr>
        <w:t>10</w:t>
      </w:r>
      <w:r>
        <w:rPr>
          <w:rFonts w:hint="eastAsia" w:ascii="宋体" w:hAnsi="Arial" w:eastAsia="宋体" w:cs="宋体"/>
          <w:bCs/>
          <w:sz w:val="24"/>
        </w:rPr>
        <w:t>mg/m</w:t>
      </w:r>
      <w:r>
        <w:rPr>
          <w:rFonts w:hint="eastAsia" w:ascii="宋体" w:hAnsi="Arial" w:eastAsia="宋体" w:cs="宋体"/>
          <w:bCs/>
          <w:sz w:val="24"/>
          <w:vertAlign w:val="superscript"/>
        </w:rPr>
        <w:t>3</w:t>
      </w:r>
      <w:r>
        <w:rPr>
          <w:rFonts w:hint="eastAsia" w:ascii="宋体" w:hAnsi="Arial" w:eastAsia="宋体" w:cs="宋体"/>
          <w:bCs/>
          <w:sz w:val="24"/>
        </w:rPr>
        <w:t>排放要求。</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4.9.3 滤袋采用PPS滤料+PTFE表面处理（包括防水、防油、防腐、防酸、防碱、抗氧化处理），持续运行温度为</w:t>
      </w:r>
      <w:r>
        <w:rPr>
          <w:rFonts w:hint="eastAsia" w:ascii="宋体" w:hAnsi="Arial" w:eastAsia="宋体" w:cs="宋体"/>
          <w:bCs/>
          <w:sz w:val="24"/>
          <w:lang w:val="en-US" w:eastAsia="zh-CN"/>
        </w:rPr>
        <w:t>16</w:t>
      </w:r>
      <w:r>
        <w:rPr>
          <w:rFonts w:hint="eastAsia" w:ascii="宋体" w:hAnsi="Arial" w:eastAsia="宋体" w:cs="宋体"/>
          <w:bCs/>
          <w:sz w:val="24"/>
        </w:rPr>
        <w:t>0℃～</w:t>
      </w:r>
      <w:r>
        <w:rPr>
          <w:rFonts w:hint="eastAsia" w:ascii="宋体" w:hAnsi="Arial" w:eastAsia="宋体" w:cs="宋体"/>
          <w:bCs/>
          <w:sz w:val="24"/>
          <w:lang w:val="en-US" w:eastAsia="zh-CN"/>
        </w:rPr>
        <w:t>20</w:t>
      </w:r>
      <w:r>
        <w:rPr>
          <w:rFonts w:hint="eastAsia" w:ascii="宋体" w:hAnsi="Arial" w:eastAsia="宋体" w:cs="宋体"/>
          <w:bCs/>
          <w:sz w:val="24"/>
        </w:rPr>
        <w:t>0℃，瞬间可耐220℃。充分考虑脱硫工况或故障工况下满足烟气不同温度的情况，在脱硫装置正常使用情况下，使用寿命≥3年。</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4.9.4 袋笼的纵筋和反撑环分布均匀，并有足够的强度和刚度，防止损坏和变形。笼骨材料采用低碳钢，使用笼骨生产线一次成型，保证笼骨的直线度和扭曲度，滤袋框架光滑、无毛刺，并且有足够的强度不脱焊，无脱焊、虚焊和漏焊现象。</w:t>
      </w:r>
    </w:p>
    <w:p>
      <w:pPr>
        <w:widowControl w:val="0"/>
        <w:spacing w:after="0" w:line="360" w:lineRule="auto"/>
        <w:jc w:val="both"/>
      </w:pPr>
      <w:r>
        <w:rPr>
          <w:rFonts w:hint="eastAsia" w:ascii="宋体" w:hAnsi="宋体" w:eastAsia="宋体"/>
          <w:bCs/>
          <w:sz w:val="24"/>
        </w:rPr>
        <w:t>4.9.5 除尘器花板采用激光加工，严禁使用冲床加工。滤袋与花板的配合合理，确保滤袋安装严密、牢固不掉袋、装拆方便。</w:t>
      </w:r>
    </w:p>
    <w:p>
      <w:pPr>
        <w:widowControl w:val="0"/>
        <w:spacing w:after="0" w:line="360" w:lineRule="auto"/>
        <w:jc w:val="both"/>
      </w:pPr>
      <w:r>
        <w:rPr>
          <w:rFonts w:hint="eastAsia" w:ascii="宋体" w:hAnsi="Arial" w:eastAsia="宋体" w:cs="宋体"/>
          <w:bCs/>
          <w:sz w:val="24"/>
        </w:rPr>
        <w:t>4.9.6 每台除尘器的进口烟道设计合理，以便布袋各室烟气均匀。</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4.9.7 壳体应密封、防雨、壳体设计应尽量避免出现死角或灰尘积聚区。</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4.9.8 脉冲阀使用寿命为100万次，清灰系统布置合理，工作性能稳定可靠，能够按要求完成清灰工作；脉冲阀的动作应灵敏可靠；清灰系统应有足够的储气量。</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4.9.9 扶梯应能到达各层需检修和操作的作业面，扶梯角度不大于45°。</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4.9.10除尘器壳体及灰斗壁板不小于5mm钢板。</w:t>
      </w:r>
    </w:p>
    <w:p>
      <w:pPr>
        <w:widowControl w:val="0"/>
        <w:spacing w:after="0" w:line="360" w:lineRule="auto"/>
        <w:jc w:val="both"/>
        <w:rPr>
          <w:rFonts w:ascii="宋体" w:hAnsi="Arial" w:eastAsia="宋体" w:cs="宋体"/>
          <w:bCs/>
          <w:sz w:val="24"/>
        </w:rPr>
      </w:pPr>
      <w:r>
        <w:rPr>
          <w:rFonts w:hint="eastAsia" w:ascii="宋体" w:hAnsi="Arial" w:eastAsia="宋体" w:cs="宋体"/>
          <w:bCs/>
          <w:sz w:val="24"/>
        </w:rPr>
        <w:t>4.9.11灰斗及排灰口的设计，应保证灰能自由流动排出灰斗。灰斗斜壁与水平面的夹角不应小于</w:t>
      </w:r>
      <w:r>
        <w:rPr>
          <w:rFonts w:ascii="宋体" w:hAnsi="Arial" w:eastAsia="宋体" w:cs="宋体"/>
          <w:bCs/>
          <w:sz w:val="24"/>
        </w:rPr>
        <w:t>65</w:t>
      </w:r>
      <w:r>
        <w:rPr>
          <w:rFonts w:hint="eastAsia" w:ascii="宋体" w:hAnsi="Arial" w:eastAsia="宋体" w:cs="宋体"/>
          <w:bCs/>
          <w:sz w:val="24"/>
        </w:rPr>
        <w:t>°。</w:t>
      </w:r>
    </w:p>
    <w:p>
      <w:pPr>
        <w:widowControl w:val="0"/>
        <w:spacing w:after="0" w:line="360" w:lineRule="auto"/>
        <w:jc w:val="both"/>
        <w:rPr>
          <w:rFonts w:ascii="宋体" w:hAnsi="宋体" w:eastAsia="宋体"/>
          <w:bCs/>
          <w:sz w:val="24"/>
        </w:rPr>
      </w:pPr>
      <w:r>
        <w:rPr>
          <w:rFonts w:hint="eastAsia" w:ascii="宋体" w:hAnsi="Arial" w:eastAsia="宋体" w:cs="宋体"/>
          <w:bCs/>
          <w:sz w:val="24"/>
        </w:rPr>
        <w:t>4.9.12</w:t>
      </w:r>
      <w:r>
        <w:rPr>
          <w:rFonts w:hint="eastAsia" w:ascii="宋体" w:hAnsi="宋体" w:eastAsia="宋体"/>
          <w:bCs/>
          <w:sz w:val="24"/>
        </w:rPr>
        <w:t>除尘器应要满足布袋在线检查和更换的条件，不允许有单一布袋损坏漏灰导致系统停运。</w:t>
      </w:r>
    </w:p>
    <w:p>
      <w:pPr>
        <w:widowControl w:val="0"/>
        <w:spacing w:after="0" w:line="360" w:lineRule="auto"/>
        <w:jc w:val="both"/>
        <w:rPr>
          <w:rFonts w:ascii="宋体" w:hAnsi="宋体" w:eastAsia="宋体"/>
          <w:bCs/>
          <w:sz w:val="24"/>
        </w:rPr>
      </w:pPr>
      <w:r>
        <w:rPr>
          <w:rFonts w:hint="eastAsia" w:ascii="宋体" w:hAnsi="宋体" w:eastAsia="宋体"/>
          <w:bCs/>
          <w:sz w:val="24"/>
        </w:rPr>
        <w:t>4.9.13灰斗应有良好的保温措施，外侧要有良好的保温措施，保持灰斗壁温高于烟气露点温度 15℃以上.</w:t>
      </w:r>
    </w:p>
    <w:p>
      <w:pPr>
        <w:widowControl w:val="0"/>
        <w:spacing w:after="0" w:line="360" w:lineRule="auto"/>
        <w:jc w:val="both"/>
        <w:rPr>
          <w:rFonts w:ascii="宋体" w:hAnsi="宋体" w:eastAsia="宋体"/>
          <w:bCs/>
          <w:sz w:val="24"/>
        </w:rPr>
      </w:pPr>
      <w:r>
        <w:rPr>
          <w:rFonts w:hint="eastAsia" w:ascii="宋体" w:hAnsi="宋体" w:eastAsia="宋体"/>
          <w:bCs/>
          <w:sz w:val="24"/>
        </w:rPr>
        <w:t>4.9.14灰斗底部应设物料流化装置，防止极端条件下灰斗内灰流粘结或结拱。</w:t>
      </w:r>
    </w:p>
    <w:p>
      <w:pPr>
        <w:widowControl w:val="0"/>
        <w:spacing w:after="0" w:line="360" w:lineRule="auto"/>
        <w:jc w:val="both"/>
        <w:rPr>
          <w:rFonts w:ascii="宋体" w:hAnsi="宋体" w:eastAsia="宋体"/>
          <w:bCs/>
          <w:sz w:val="24"/>
        </w:rPr>
      </w:pPr>
      <w:r>
        <w:rPr>
          <w:rFonts w:hint="eastAsia" w:ascii="宋体" w:hAnsi="宋体" w:eastAsia="宋体"/>
          <w:bCs/>
          <w:sz w:val="24"/>
        </w:rPr>
        <w:t>4.9.15灰斗出口的放灰装置为和吸排罐车配合使用的形式，吸排罐车与放灰口对接管道通径为DN150。流化风配有专门的加热装置和保温，采用蒸汽或电加热。</w:t>
      </w:r>
    </w:p>
    <w:p>
      <w:pPr>
        <w:widowControl w:val="0"/>
        <w:spacing w:after="0" w:line="360" w:lineRule="auto"/>
        <w:jc w:val="both"/>
        <w:rPr>
          <w:rFonts w:ascii="宋体" w:hAnsi="Arial" w:eastAsia="宋体" w:cs="宋体"/>
          <w:bCs/>
          <w:sz w:val="24"/>
        </w:rPr>
      </w:pPr>
      <w:r>
        <w:rPr>
          <w:rFonts w:hint="eastAsia" w:ascii="宋体" w:hAnsi="宋体" w:eastAsia="宋体"/>
          <w:bCs/>
          <w:sz w:val="24"/>
        </w:rPr>
        <w:t>4.9.16每个灰斗应至少设置一个密闭性好的双层人孔门。</w:t>
      </w:r>
    </w:p>
    <w:p>
      <w:pPr>
        <w:widowControl w:val="0"/>
        <w:spacing w:after="0" w:line="360" w:lineRule="auto"/>
        <w:jc w:val="both"/>
        <w:rPr>
          <w:rFonts w:hint="eastAsia" w:ascii="宋体" w:hAnsi="Arial" w:eastAsia="宋体" w:cs="宋体"/>
          <w:bCs/>
          <w:sz w:val="24"/>
        </w:rPr>
      </w:pPr>
      <w:r>
        <w:rPr>
          <w:rFonts w:hint="eastAsia" w:ascii="宋体" w:hAnsi="Arial" w:eastAsia="宋体" w:cs="宋体"/>
          <w:bCs/>
          <w:sz w:val="24"/>
        </w:rPr>
        <w:t>4.9.17灰斗出口高度应满足脱硫灰气力输送的需要。</w:t>
      </w:r>
    </w:p>
    <w:p>
      <w:pPr>
        <w:spacing w:after="0"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lang w:eastAsia="zh-CN"/>
        </w:rPr>
        <w:t>五</w:t>
      </w:r>
      <w:r>
        <w:rPr>
          <w:rFonts w:hint="eastAsia" w:ascii="宋体" w:hAnsi="宋体" w:eastAsia="宋体" w:cs="宋体"/>
          <w:b/>
          <w:bCs/>
          <w:color w:val="000000"/>
          <w:sz w:val="24"/>
          <w:szCs w:val="24"/>
        </w:rPr>
        <w:t>、双方</w:t>
      </w:r>
      <w:r>
        <w:rPr>
          <w:rFonts w:hint="eastAsia" w:ascii="宋体" w:hAnsi="宋体" w:eastAsia="宋体" w:cs="宋体"/>
          <w:b/>
          <w:bCs/>
          <w:color w:val="000000"/>
          <w:sz w:val="24"/>
          <w:szCs w:val="24"/>
          <w:lang w:eastAsia="zh-CN"/>
        </w:rPr>
        <w:t>职责</w:t>
      </w:r>
      <w:r>
        <w:rPr>
          <w:rFonts w:hint="eastAsia" w:ascii="宋体" w:hAnsi="宋体" w:eastAsia="宋体" w:cs="宋体"/>
          <w:b/>
          <w:bCs/>
          <w:color w:val="000000"/>
          <w:sz w:val="24"/>
          <w:szCs w:val="24"/>
        </w:rPr>
        <w:t>及供货范围</w:t>
      </w:r>
    </w:p>
    <w:p>
      <w:pPr>
        <w:spacing w:after="0" w:line="360" w:lineRule="auto"/>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.1</w:t>
      </w:r>
      <w:r>
        <w:rPr>
          <w:rFonts w:hint="eastAsia" w:ascii="宋体" w:hAnsi="宋体" w:eastAsia="宋体" w:cs="宋体"/>
          <w:b/>
          <w:color w:val="000000"/>
          <w:sz w:val="24"/>
          <w:szCs w:val="24"/>
          <w:lang w:eastAsia="zh-CN"/>
        </w:rPr>
        <w:t>职责分工</w:t>
      </w:r>
    </w:p>
    <w:p>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.1.1 投标方负责</w:t>
      </w:r>
    </w:p>
    <w:p>
      <w:pPr>
        <w:spacing w:after="0" w:line="360" w:lineRule="auto"/>
        <w:rPr>
          <w:rFonts w:ascii="宋体" w:hAnsi="宋体" w:eastAsia="宋体" w:cs="宋体"/>
          <w:color w:val="000000"/>
          <w:sz w:val="24"/>
          <w:szCs w:val="24"/>
        </w:rPr>
      </w:pP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.1.1.1投标方对</w:t>
      </w:r>
      <w:r>
        <w:rPr>
          <w:rFonts w:hint="eastAsia" w:ascii="宋体" w:hAnsi="宋体" w:eastAsia="宋体"/>
          <w:color w:val="000000"/>
          <w:sz w:val="24"/>
          <w:szCs w:val="24"/>
          <w:lang w:eastAsia="zh-CN"/>
        </w:rPr>
        <w:t>干熄焦放散气脱硫系统范围：</w:t>
      </w:r>
      <w:r>
        <w:rPr>
          <w:rFonts w:hint="eastAsia" w:ascii="宋体" w:hAnsi="宋体" w:eastAsia="宋体" w:cs="微软雅黑"/>
          <w:kern w:val="0"/>
          <w:sz w:val="24"/>
          <w:szCs w:val="24"/>
          <w:lang w:val="en-US" w:eastAsia="zh-CN" w:bidi="ar-SA"/>
        </w:rPr>
        <w:t>从干熄焦放散气布袋除尘出口引气（由投标方带压开孔引气，不得影响生产）到脱硫后净放散气进入干熄焦环境除尘入口（由投标方带压开孔送气，不得影响生产）、脱硫系统排出来的废灰用气力输送送至矿渣微粉仓（由投标方带压开孔送料，不得影响生产），投标方负责该系统的工艺布置，</w:t>
      </w:r>
      <w:r>
        <w:rPr>
          <w:rFonts w:hint="eastAsia" w:ascii="宋体" w:hAnsi="宋体" w:eastAsia="宋体"/>
          <w:color w:val="000000"/>
          <w:sz w:val="24"/>
          <w:szCs w:val="24"/>
          <w:lang w:eastAsia="zh-CN"/>
        </w:rPr>
        <w:t>设备的设计、</w:t>
      </w:r>
      <w:r>
        <w:rPr>
          <w:rFonts w:hint="eastAsia" w:ascii="宋体" w:hAnsi="宋体" w:eastAsia="宋体"/>
          <w:color w:val="000000"/>
          <w:sz w:val="24"/>
          <w:szCs w:val="24"/>
        </w:rPr>
        <w:t>供货、安装、调试和使用性能负责</w:t>
      </w:r>
      <w:r>
        <w:rPr>
          <w:rFonts w:hint="eastAsia" w:ascii="宋体" w:hAnsi="宋体" w:eastAsia="宋体"/>
          <w:color w:val="000000"/>
          <w:sz w:val="24"/>
          <w:szCs w:val="24"/>
          <w:lang w:eastAsia="zh-CN"/>
        </w:rPr>
        <w:t>。该系统</w:t>
      </w:r>
      <w:r>
        <w:rPr>
          <w:rFonts w:hint="eastAsia" w:ascii="宋体" w:hAnsi="宋体" w:eastAsia="宋体"/>
          <w:color w:val="000000"/>
          <w:sz w:val="24"/>
          <w:szCs w:val="24"/>
          <w:highlight w:val="none"/>
        </w:rPr>
        <w:t>必</w:t>
      </w:r>
      <w:r>
        <w:rPr>
          <w:rFonts w:hint="eastAsia" w:ascii="宋体" w:hAnsi="宋体" w:eastAsia="宋体"/>
          <w:color w:val="000000"/>
          <w:sz w:val="24"/>
          <w:szCs w:val="24"/>
        </w:rPr>
        <w:t>须达到以下要求：</w:t>
      </w:r>
      <w:r>
        <w:rPr>
          <w:rFonts w:hint="eastAsia" w:ascii="宋体" w:hAnsi="宋体" w:eastAsia="宋体" w:cs="宋体"/>
          <w:bCs/>
          <w:sz w:val="24"/>
        </w:rPr>
        <w:t>要求方案先进、自动化程度高、安全、环保、节能。</w:t>
      </w:r>
    </w:p>
    <w:p>
      <w:pPr>
        <w:spacing w:after="0" w:line="360" w:lineRule="auto"/>
        <w:rPr>
          <w:rFonts w:hint="eastAsia" w:ascii="宋体" w:hAnsi="宋体" w:eastAsia="宋体"/>
          <w:color w:val="000000"/>
          <w:sz w:val="24"/>
          <w:szCs w:val="24"/>
        </w:rPr>
      </w:pP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.1.1.2投标方负责提供</w:t>
      </w:r>
      <w:r>
        <w:rPr>
          <w:rFonts w:hint="eastAsia" w:ascii="宋体" w:hAnsi="宋体" w:eastAsia="宋体"/>
          <w:color w:val="000000"/>
          <w:sz w:val="24"/>
          <w:szCs w:val="24"/>
          <w:lang w:eastAsia="zh-CN"/>
        </w:rPr>
        <w:t>工艺布置图、设备安装图、</w:t>
      </w:r>
      <w:r>
        <w:rPr>
          <w:rFonts w:hint="eastAsia" w:ascii="宋体" w:hAnsi="宋体" w:eastAsia="宋体"/>
          <w:color w:val="000000"/>
          <w:sz w:val="24"/>
          <w:szCs w:val="24"/>
        </w:rPr>
        <w:t>非标备品备件的图纸、标准件的规格型号（含国标号），便于招标方采购。</w:t>
      </w:r>
    </w:p>
    <w:p>
      <w:pPr>
        <w:pStyle w:val="2"/>
        <w:rPr>
          <w:rFonts w:hint="default" w:eastAsia="宋体"/>
          <w:lang w:val="en-US" w:eastAsia="zh-CN"/>
        </w:rPr>
      </w:pPr>
      <w:r>
        <w:rPr>
          <w:rFonts w:hint="eastAsia" w:eastAsia="宋体"/>
          <w:color w:val="000000"/>
          <w:sz w:val="24"/>
          <w:szCs w:val="24"/>
          <w:lang w:val="en-US" w:eastAsia="zh-CN"/>
        </w:rPr>
        <w:t>5.1.1.3负责放散气取气口、净烟气入口、废灰进矿渣微粉入口等处的带压开孔。</w:t>
      </w:r>
    </w:p>
    <w:p>
      <w:pPr>
        <w:spacing w:after="0" w:line="360" w:lineRule="auto"/>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.1.2 招标方负责</w:t>
      </w:r>
    </w:p>
    <w:p>
      <w:pPr>
        <w:tabs>
          <w:tab w:val="left" w:pos="284"/>
          <w:tab w:val="left" w:pos="426"/>
          <w:tab w:val="left" w:pos="993"/>
        </w:tabs>
        <w:spacing w:after="0" w:line="360" w:lineRule="auto"/>
        <w:rPr>
          <w:rFonts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.1.2.1 将动力电供至投标方电源总开关柜。</w:t>
      </w:r>
    </w:p>
    <w:p>
      <w:pPr>
        <w:tabs>
          <w:tab w:val="left" w:pos="284"/>
          <w:tab w:val="left" w:pos="426"/>
          <w:tab w:val="left" w:pos="993"/>
        </w:tabs>
        <w:spacing w:after="0" w:line="360" w:lineRule="auto"/>
        <w:rPr>
          <w:rFonts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.1.2.2 </w:t>
      </w:r>
      <w:r>
        <w:rPr>
          <w:rFonts w:hint="eastAsia" w:ascii="宋体" w:hAnsi="宋体" w:eastAsia="宋体"/>
          <w:sz w:val="24"/>
          <w:szCs w:val="24"/>
        </w:rPr>
        <w:t>按投标方的土建基础</w:t>
      </w:r>
      <w:r>
        <w:rPr>
          <w:rFonts w:hint="eastAsia" w:ascii="宋体" w:hAnsi="宋体" w:eastAsia="宋体"/>
          <w:sz w:val="24"/>
          <w:szCs w:val="24"/>
          <w:lang w:eastAsia="zh-CN"/>
        </w:rPr>
        <w:t>条件</w:t>
      </w:r>
      <w:r>
        <w:rPr>
          <w:rFonts w:hint="eastAsia" w:ascii="宋体" w:hAnsi="宋体" w:eastAsia="宋体"/>
          <w:sz w:val="24"/>
          <w:szCs w:val="24"/>
        </w:rPr>
        <w:t>做好土建基础的设计</w:t>
      </w:r>
      <w:r>
        <w:rPr>
          <w:rFonts w:hint="eastAsia" w:ascii="宋体" w:hAnsi="宋体" w:eastAsia="宋体"/>
          <w:sz w:val="24"/>
          <w:szCs w:val="24"/>
          <w:lang w:eastAsia="zh-CN"/>
        </w:rPr>
        <w:t>、施工，提供合格的土建基础</w:t>
      </w:r>
      <w:r>
        <w:rPr>
          <w:rFonts w:hint="eastAsia" w:ascii="宋体" w:hAnsi="宋体" w:eastAsia="宋体" w:cs="宋体"/>
          <w:bCs/>
          <w:sz w:val="24"/>
          <w:szCs w:val="24"/>
        </w:rPr>
        <w:t>。</w:t>
      </w:r>
    </w:p>
    <w:p>
      <w:pPr>
        <w:tabs>
          <w:tab w:val="left" w:pos="284"/>
          <w:tab w:val="left" w:pos="426"/>
          <w:tab w:val="left" w:pos="993"/>
        </w:tabs>
        <w:spacing w:after="0"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.1.2.3 负责</w:t>
      </w:r>
      <w:r>
        <w:rPr>
          <w:rFonts w:hint="eastAsia" w:ascii="宋体" w:hAnsi="宋体" w:eastAsia="宋体" w:cs="宋体"/>
          <w:bCs/>
          <w:sz w:val="24"/>
          <w:szCs w:val="24"/>
          <w:lang w:eastAsia="zh-CN"/>
        </w:rPr>
        <w:t>提供厂房图、现有工艺布置图</w:t>
      </w:r>
      <w:r>
        <w:rPr>
          <w:rFonts w:hint="eastAsia" w:ascii="宋体" w:hAnsi="宋体" w:eastAsia="宋体" w:cs="宋体"/>
          <w:bCs/>
          <w:sz w:val="24"/>
          <w:szCs w:val="24"/>
        </w:rPr>
        <w:t>。</w:t>
      </w:r>
    </w:p>
    <w:p>
      <w:pPr>
        <w:tabs>
          <w:tab w:val="left" w:pos="284"/>
          <w:tab w:val="left" w:pos="426"/>
          <w:tab w:val="left" w:pos="993"/>
        </w:tabs>
        <w:spacing w:after="0"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5.1.2.4</w:t>
      </w:r>
      <w:r>
        <w:rPr>
          <w:rFonts w:hint="eastAsia" w:ascii="宋体" w:hAnsi="宋体" w:eastAsia="宋体" w:cs="宋体"/>
          <w:bCs/>
          <w:sz w:val="24"/>
          <w:szCs w:val="24"/>
          <w:lang w:eastAsia="zh-CN"/>
        </w:rPr>
        <w:t>干熄焦放散气脱硫区域范围内</w:t>
      </w:r>
      <w:r>
        <w:rPr>
          <w:rFonts w:hint="eastAsia" w:ascii="宋体" w:hAnsi="宋体" w:eastAsia="宋体" w:cs="宋体"/>
          <w:bCs/>
          <w:sz w:val="24"/>
          <w:szCs w:val="24"/>
        </w:rPr>
        <w:t>所需所有介质管路，</w:t>
      </w:r>
      <w:r>
        <w:rPr>
          <w:rFonts w:hint="eastAsia" w:ascii="宋体" w:hAnsi="宋体" w:eastAsia="宋体" w:cs="宋体"/>
          <w:bCs/>
          <w:sz w:val="24"/>
          <w:szCs w:val="24"/>
          <w:lang w:eastAsia="zh-CN"/>
        </w:rPr>
        <w:t>招标</w:t>
      </w:r>
      <w:r>
        <w:rPr>
          <w:rFonts w:hint="eastAsia" w:ascii="宋体" w:hAnsi="宋体" w:eastAsia="宋体" w:cs="宋体"/>
          <w:bCs/>
          <w:sz w:val="24"/>
          <w:szCs w:val="24"/>
        </w:rPr>
        <w:t>方接至</w:t>
      </w:r>
      <w:r>
        <w:rPr>
          <w:rFonts w:hint="eastAsia" w:ascii="宋体" w:hAnsi="宋体" w:eastAsia="宋体" w:cs="宋体"/>
          <w:bCs/>
          <w:sz w:val="24"/>
          <w:szCs w:val="24"/>
          <w:lang w:eastAsia="zh-CN"/>
        </w:rPr>
        <w:t>投标</w:t>
      </w:r>
      <w:r>
        <w:rPr>
          <w:rFonts w:hint="eastAsia" w:ascii="宋体" w:hAnsi="宋体" w:eastAsia="宋体" w:cs="宋体"/>
          <w:bCs/>
          <w:sz w:val="24"/>
          <w:szCs w:val="24"/>
        </w:rPr>
        <w:t>方使用设备最近的柱列线处，并设置一道总阀，由</w:t>
      </w:r>
      <w:r>
        <w:rPr>
          <w:rFonts w:hint="eastAsia" w:ascii="宋体" w:hAnsi="宋体" w:eastAsia="宋体" w:cs="宋体"/>
          <w:bCs/>
          <w:sz w:val="24"/>
          <w:szCs w:val="24"/>
          <w:lang w:eastAsia="zh-CN"/>
        </w:rPr>
        <w:t>投标</w:t>
      </w:r>
      <w:r>
        <w:rPr>
          <w:rFonts w:hint="eastAsia" w:ascii="宋体" w:hAnsi="宋体" w:eastAsia="宋体" w:cs="宋体"/>
          <w:bCs/>
          <w:sz w:val="24"/>
          <w:szCs w:val="24"/>
        </w:rPr>
        <w:t>方负责接至设备</w:t>
      </w:r>
      <w:r>
        <w:rPr>
          <w:rFonts w:hint="eastAsia" w:ascii="宋体" w:hAnsi="宋体" w:eastAsia="宋体" w:cs="宋体"/>
          <w:bCs/>
          <w:sz w:val="24"/>
          <w:szCs w:val="24"/>
          <w:lang w:eastAsia="zh-CN"/>
        </w:rPr>
        <w:t>各</w:t>
      </w:r>
      <w:r>
        <w:rPr>
          <w:rFonts w:hint="eastAsia" w:ascii="宋体" w:hAnsi="宋体" w:eastAsia="宋体" w:cs="宋体"/>
          <w:bCs/>
          <w:sz w:val="24"/>
          <w:szCs w:val="24"/>
        </w:rPr>
        <w:t>使用点。</w:t>
      </w:r>
    </w:p>
    <w:p>
      <w:pPr>
        <w:tabs>
          <w:tab w:val="left" w:pos="3084"/>
        </w:tabs>
        <w:spacing w:after="0" w:line="360" w:lineRule="auto"/>
        <w:rPr>
          <w:rFonts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.2供货分交</w:t>
      </w:r>
    </w:p>
    <w:p>
      <w:pPr>
        <w:spacing w:after="0" w:line="360" w:lineRule="auto"/>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.2.1 投标方负责</w:t>
      </w:r>
    </w:p>
    <w:p>
      <w:pPr>
        <w:spacing w:after="0" w:line="360" w:lineRule="auto"/>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.2.1.1负责本技术文件所描述设备功能范围内所有设备包含设备框架及附属设施供货，明确注明属招标方供货的除外。</w:t>
      </w:r>
    </w:p>
    <w:p>
      <w:pPr>
        <w:spacing w:after="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.2.2.2负责控制电缆及通讯电缆、管线等辅材供货。</w:t>
      </w:r>
    </w:p>
    <w:p>
      <w:pPr>
        <w:spacing w:after="0" w:line="360" w:lineRule="auto"/>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2.3所有投标方供货的设备都涂有底漆及二次面漆加以防护，通用产品出厂涂有最终面漆。</w:t>
      </w:r>
    </w:p>
    <w:p>
      <w:pPr>
        <w:spacing w:after="0" w:line="360" w:lineRule="auto"/>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.4主要设施及附属设施的涂装须按《涂装通用技术条件》JB/T5000.12-2018执行。涂漆前必须认真仔细地清除锈蚀，手工除锈要达到st3级，喷射除锈要达到sa2.5级。</w:t>
      </w:r>
    </w:p>
    <w:p>
      <w:pPr>
        <w:spacing w:after="0" w:line="360" w:lineRule="auto"/>
      </w:pPr>
      <w:r>
        <w:rPr>
          <w:rFonts w:hint="eastAsia" w:ascii="宋体" w:hAnsi="宋体" w:eastAsia="宋体" w:cs="宋体"/>
          <w:sz w:val="24"/>
          <w:szCs w:val="24"/>
        </w:rPr>
        <w:t>涂漆道次：涂底漆2次，2次面漆。平膜总厚度为200μm（干膜）。</w:t>
      </w:r>
    </w:p>
    <w:p>
      <w:pPr>
        <w:tabs>
          <w:tab w:val="left" w:pos="720"/>
        </w:tabs>
        <w:spacing w:after="0" w:line="360" w:lineRule="auto"/>
        <w:rPr>
          <w:rFonts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、资料交付</w:t>
      </w:r>
    </w:p>
    <w:p>
      <w:pPr>
        <w:tabs>
          <w:tab w:val="left" w:pos="720"/>
        </w:tabs>
        <w:spacing w:after="0" w:line="360" w:lineRule="auto"/>
        <w:rPr>
          <w:rFonts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.1 先期资料交付</w:t>
      </w:r>
    </w:p>
    <w:p>
      <w:pPr>
        <w:widowControl w:val="0"/>
        <w:tabs>
          <w:tab w:val="left" w:pos="312"/>
        </w:tabs>
        <w:adjustRightInd/>
        <w:snapToGrid/>
        <w:spacing w:after="0" w:line="360" w:lineRule="auto"/>
        <w:jc w:val="both"/>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.1.1 合同签订后7天内，投标方需向招标方提供</w:t>
      </w:r>
      <w:r>
        <w:rPr>
          <w:rFonts w:hint="eastAsia" w:ascii="宋体" w:hAnsi="宋体" w:eastAsia="宋体" w:cs="宋体"/>
          <w:bCs/>
          <w:sz w:val="24"/>
        </w:rPr>
        <w:t>设备基础条件图</w:t>
      </w:r>
      <w:r>
        <w:rPr>
          <w:rFonts w:hint="eastAsia" w:ascii="宋体" w:hAnsi="宋体" w:eastAsia="宋体" w:cs="宋体"/>
          <w:bCs/>
          <w:sz w:val="24"/>
          <w:lang w:eastAsia="zh-CN"/>
        </w:rPr>
        <w:t>、工艺</w:t>
      </w:r>
      <w:r>
        <w:rPr>
          <w:rFonts w:hint="eastAsia" w:ascii="宋体" w:hAnsi="宋体" w:eastAsia="宋体" w:cs="宋体"/>
          <w:bCs/>
          <w:sz w:val="24"/>
        </w:rPr>
        <w:t>布置图</w:t>
      </w:r>
      <w:r>
        <w:rPr>
          <w:rFonts w:hint="eastAsia" w:ascii="宋体" w:hAnsi="宋体" w:eastAsia="宋体" w:cs="宋体"/>
          <w:bCs/>
          <w:sz w:val="24"/>
          <w:lang w:eastAsia="zh-CN"/>
        </w:rPr>
        <w:t>、</w:t>
      </w:r>
      <w:r>
        <w:rPr>
          <w:rFonts w:hint="eastAsia" w:ascii="宋体" w:hAnsi="宋体" w:eastAsia="宋体" w:cs="宋体"/>
          <w:bCs/>
          <w:sz w:val="24"/>
        </w:rPr>
        <w:t>水、电</w:t>
      </w:r>
      <w:r>
        <w:rPr>
          <w:rFonts w:hint="eastAsia" w:ascii="宋体" w:hAnsi="宋体" w:eastAsia="宋体" w:cs="宋体"/>
          <w:bCs/>
          <w:sz w:val="24"/>
          <w:lang w:eastAsia="zh-CN"/>
        </w:rPr>
        <w:t>、</w:t>
      </w:r>
      <w:r>
        <w:rPr>
          <w:rFonts w:hint="eastAsia" w:ascii="宋体" w:hAnsi="宋体" w:eastAsia="宋体" w:cs="宋体"/>
          <w:bCs/>
          <w:sz w:val="24"/>
        </w:rPr>
        <w:t>气</w:t>
      </w:r>
      <w:r>
        <w:rPr>
          <w:rFonts w:hint="eastAsia" w:ascii="宋体" w:hAnsi="宋体" w:eastAsia="宋体" w:cs="宋体"/>
          <w:bCs/>
          <w:sz w:val="24"/>
          <w:lang w:eastAsia="zh-CN"/>
        </w:rPr>
        <w:t>等各介质条件</w:t>
      </w:r>
      <w:r>
        <w:rPr>
          <w:rFonts w:hint="eastAsia" w:ascii="宋体" w:hAnsi="宋体" w:eastAsia="宋体" w:cs="宋体"/>
          <w:bCs/>
          <w:sz w:val="24"/>
        </w:rPr>
        <w:t>。</w:t>
      </w:r>
      <w:r>
        <w:rPr>
          <w:rFonts w:hint="eastAsia" w:ascii="宋体" w:hAnsi="宋体" w:eastAsia="宋体" w:cs="宋体"/>
          <w:sz w:val="24"/>
          <w:szCs w:val="24"/>
        </w:rPr>
        <w:t>招标方审核无误后，双方对平面布置图和基础土建</w:t>
      </w:r>
      <w:r>
        <w:rPr>
          <w:rFonts w:hint="eastAsia" w:ascii="宋体" w:hAnsi="宋体" w:eastAsia="宋体" w:cs="宋体"/>
          <w:sz w:val="24"/>
          <w:szCs w:val="24"/>
          <w:lang w:eastAsia="zh-CN"/>
        </w:rPr>
        <w:t>条件</w:t>
      </w:r>
      <w:r>
        <w:rPr>
          <w:rFonts w:hint="eastAsia" w:ascii="宋体" w:hAnsi="宋体" w:eastAsia="宋体" w:cs="宋体"/>
          <w:sz w:val="24"/>
          <w:szCs w:val="24"/>
        </w:rPr>
        <w:t>图进行会签。</w:t>
      </w:r>
    </w:p>
    <w:p>
      <w:pPr>
        <w:tabs>
          <w:tab w:val="left" w:pos="720"/>
        </w:tabs>
        <w:spacing w:after="0" w:line="360" w:lineRule="auto"/>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.1.2 设备发货时，投标方需提供以下技术文件资料，包括且不限于：</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.1.2.1 施工技术资料。</w:t>
      </w:r>
      <w:r>
        <w:rPr>
          <w:rFonts w:hint="eastAsia" w:ascii="宋体" w:hAnsi="宋体" w:eastAsia="宋体" w:cs="宋体"/>
          <w:bCs/>
          <w:sz w:val="24"/>
          <w:lang w:eastAsia="zh-CN"/>
        </w:rPr>
        <w:t>工艺</w:t>
      </w:r>
      <w:r>
        <w:rPr>
          <w:rFonts w:hint="eastAsia" w:ascii="宋体" w:hAnsi="宋体" w:eastAsia="宋体" w:cs="宋体"/>
          <w:bCs/>
          <w:sz w:val="24"/>
        </w:rPr>
        <w:t>平</w:t>
      </w:r>
      <w:r>
        <w:rPr>
          <w:rFonts w:hint="eastAsia" w:ascii="宋体" w:hAnsi="宋体" w:eastAsia="宋体" w:cs="宋体"/>
          <w:bCs/>
          <w:sz w:val="24"/>
          <w:lang w:eastAsia="zh-CN"/>
        </w:rPr>
        <w:t>剖</w:t>
      </w:r>
      <w:r>
        <w:rPr>
          <w:rFonts w:hint="eastAsia" w:ascii="宋体" w:hAnsi="宋体" w:eastAsia="宋体" w:cs="宋体"/>
          <w:bCs/>
          <w:sz w:val="24"/>
        </w:rPr>
        <w:t>面图</w:t>
      </w:r>
      <w:r>
        <w:rPr>
          <w:rFonts w:hint="eastAsia" w:ascii="宋体" w:hAnsi="宋体" w:eastAsia="宋体" w:cs="宋体"/>
          <w:bCs/>
          <w:sz w:val="24"/>
          <w:lang w:eastAsia="zh-CN"/>
        </w:rPr>
        <w:t>、安装图、基础条件图等</w:t>
      </w:r>
      <w:r>
        <w:rPr>
          <w:rFonts w:hint="eastAsia" w:ascii="宋体" w:hAnsi="宋体" w:eastAsia="宋体" w:cs="宋体"/>
          <w:bCs/>
          <w:sz w:val="24"/>
        </w:rPr>
        <w:t>。</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.1.2.2 机械部分。包括装配图、操作维修保养说明书、液压原理图、管线图、液压系统使用说明书、备品配件清单、配套件生产厂家和联系方式、易损零部件图和安全操作规程等。</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.1.2.3 电气部分。包括电气原理图，外部接线图，电气使用维护说明书、plc程序、应用软件显示画面及输出报表说明等。</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.1.2.4 技术人员、操作人员和维修人员的培训资料。</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.1.2.5 招标方认为需要的，而上述没有列举的其它资料。</w:t>
      </w:r>
    </w:p>
    <w:p>
      <w:pPr>
        <w:widowControl w:val="0"/>
        <w:tabs>
          <w:tab w:val="left" w:pos="312"/>
        </w:tabs>
        <w:adjustRightInd/>
        <w:snapToGrid/>
        <w:spacing w:after="0" w:line="360" w:lineRule="auto"/>
        <w:jc w:val="both"/>
        <w:rPr>
          <w:rFonts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.1.2.6 技术资料使用中文，所有资料提供二份纸质文档，一份电子文档光盘（DVD），其中图纸应同时提供dwg和pdf两种格式</w:t>
      </w:r>
      <w:r>
        <w:rPr>
          <w:rFonts w:hint="eastAsia" w:ascii="宋体" w:hAnsi="宋体" w:eastAsia="宋体" w:cs="宋体"/>
          <w:bCs/>
          <w:sz w:val="24"/>
          <w:lang w:eastAsia="zh-CN"/>
        </w:rPr>
        <w:t>，文档提供</w:t>
      </w:r>
      <w:r>
        <w:rPr>
          <w:rFonts w:hint="eastAsia" w:ascii="宋体" w:hAnsi="宋体" w:eastAsia="宋体" w:cs="宋体"/>
          <w:bCs/>
          <w:sz w:val="24"/>
          <w:lang w:val="en-US" w:eastAsia="zh-CN"/>
        </w:rPr>
        <w:t>.doc格式</w:t>
      </w:r>
      <w:r>
        <w:rPr>
          <w:rFonts w:hint="eastAsia" w:ascii="宋体" w:hAnsi="宋体" w:eastAsia="宋体" w:cs="宋体"/>
          <w:bCs/>
          <w:sz w:val="24"/>
        </w:rPr>
        <w:t>。</w:t>
      </w:r>
    </w:p>
    <w:p>
      <w:pPr>
        <w:tabs>
          <w:tab w:val="left" w:pos="720"/>
        </w:tabs>
        <w:spacing w:after="0" w:line="360" w:lineRule="auto"/>
        <w:rPr>
          <w:rFonts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.2 资料交付及要求</w:t>
      </w:r>
    </w:p>
    <w:tbl>
      <w:tblPr>
        <w:tblStyle w:val="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4192"/>
        <w:gridCol w:w="1635"/>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序号</w:t>
            </w:r>
          </w:p>
        </w:tc>
        <w:tc>
          <w:tcPr>
            <w:tcW w:w="4192"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资料名称</w:t>
            </w:r>
          </w:p>
        </w:tc>
        <w:tc>
          <w:tcPr>
            <w:tcW w:w="1635"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交付时间</w:t>
            </w:r>
          </w:p>
        </w:tc>
        <w:tc>
          <w:tcPr>
            <w:tcW w:w="2408"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1</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用于设计的资料图</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设计审查</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eastAsia="宋体"/>
                <w:color w:val="000000"/>
                <w:sz w:val="21"/>
                <w:szCs w:val="21"/>
                <w:lang w:val="en-US" w:eastAsia="zh-CN"/>
              </w:rPr>
              <w:t>7</w:t>
            </w:r>
            <w:r>
              <w:rPr>
                <w:rFonts w:hint="eastAsia" w:ascii="宋体" w:hAnsi="宋体" w:eastAsia="宋体"/>
                <w:color w:val="000000"/>
                <w:sz w:val="21"/>
                <w:szCs w:val="21"/>
              </w:rPr>
              <w:t>天内</w:t>
            </w:r>
          </w:p>
        </w:tc>
        <w:tc>
          <w:tcPr>
            <w:tcW w:w="2408" w:type="dxa"/>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土建基础资料图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合同签订15天内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DWG电子版+蓝图2套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介质接点资料图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合同签订15天内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DWG电子版+蓝图2套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sz w:val="21"/>
                <w:szCs w:val="21"/>
              </w:rPr>
            </w:pPr>
            <w:r>
              <w:rPr>
                <w:rFonts w:hint="eastAsia" w:ascii="宋体" w:hAnsi="宋体" w:eastAsia="宋体"/>
                <w:sz w:val="21"/>
                <w:szCs w:val="21"/>
              </w:rPr>
              <w:t>电气及自动化提资图（含电气装置表）</w:t>
            </w:r>
          </w:p>
        </w:tc>
        <w:tc>
          <w:tcPr>
            <w:tcW w:w="1635" w:type="dxa"/>
            <w:vAlign w:val="bottom"/>
          </w:tcPr>
          <w:p>
            <w:pPr>
              <w:spacing w:after="0"/>
              <w:textAlignment w:val="bottom"/>
              <w:rPr>
                <w:rFonts w:ascii="宋体" w:hAnsi="宋体" w:eastAsia="宋体"/>
                <w:sz w:val="21"/>
                <w:szCs w:val="21"/>
              </w:rPr>
            </w:pPr>
            <w:r>
              <w:rPr>
                <w:rFonts w:hint="eastAsia" w:ascii="宋体" w:hAnsi="宋体" w:eastAsia="宋体"/>
                <w:sz w:val="21"/>
                <w:szCs w:val="21"/>
              </w:rPr>
              <w:t>合同签订15天内</w:t>
            </w:r>
          </w:p>
        </w:tc>
        <w:tc>
          <w:tcPr>
            <w:tcW w:w="2408" w:type="dxa"/>
            <w:vAlign w:val="bottom"/>
          </w:tcPr>
          <w:p>
            <w:pPr>
              <w:spacing w:after="0"/>
              <w:textAlignment w:val="bottom"/>
              <w:rPr>
                <w:rFonts w:ascii="宋体" w:hAnsi="宋体" w:eastAsia="宋体"/>
                <w:sz w:val="21"/>
                <w:szCs w:val="21"/>
              </w:rPr>
            </w:pPr>
            <w:r>
              <w:rPr>
                <w:rFonts w:hint="eastAsia" w:ascii="宋体" w:hAnsi="宋体" w:eastAsia="宋体"/>
                <w:sz w:val="21"/>
                <w:szCs w:val="21"/>
              </w:rPr>
              <w:t>DWG电子版+蓝图2套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2</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机械装置</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装置安装总图（含装置重量）、部件图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eastAsia="宋体"/>
                <w:color w:val="C00000"/>
                <w:sz w:val="21"/>
                <w:szCs w:val="21"/>
                <w:lang w:val="en-US" w:eastAsia="zh-CN"/>
              </w:rPr>
              <w:t>30</w:t>
            </w:r>
            <w:r>
              <w:rPr>
                <w:rFonts w:hint="eastAsia" w:ascii="宋体" w:hAnsi="宋体" w:eastAsia="宋体"/>
                <w:color w:val="000000"/>
                <w:sz w:val="21"/>
                <w:szCs w:val="21"/>
              </w:rPr>
              <w:t>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液压原理图、管线图、液压系统使用说明书、配套件生产厂家和联系方式、安全操作规程等。</w:t>
            </w:r>
          </w:p>
        </w:tc>
        <w:tc>
          <w:tcPr>
            <w:tcW w:w="1635" w:type="dxa"/>
            <w:vAlign w:val="bottom"/>
          </w:tcPr>
          <w:p>
            <w:pPr>
              <w:spacing w:after="0"/>
              <w:textAlignment w:val="bottom"/>
              <w:rPr>
                <w:rFonts w:ascii="宋体" w:hAnsi="宋体" w:eastAsia="宋体"/>
                <w:color w:val="000000"/>
                <w:sz w:val="21"/>
                <w:szCs w:val="21"/>
              </w:rPr>
            </w:pPr>
          </w:p>
        </w:tc>
        <w:tc>
          <w:tcPr>
            <w:tcW w:w="2408" w:type="dxa"/>
            <w:vAlign w:val="bottom"/>
          </w:tcPr>
          <w:p>
            <w:pPr>
              <w:spacing w:after="0"/>
              <w:textAlignment w:val="bottom"/>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备件图</w:t>
            </w:r>
          </w:p>
        </w:tc>
        <w:tc>
          <w:tcPr>
            <w:tcW w:w="1635" w:type="dxa"/>
            <w:vMerge w:val="restart"/>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Merge w:val="restart"/>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主要外购件清单</w:t>
            </w:r>
          </w:p>
        </w:tc>
        <w:tc>
          <w:tcPr>
            <w:tcW w:w="1635" w:type="dxa"/>
            <w:vMerge w:val="continue"/>
            <w:vAlign w:val="bottom"/>
          </w:tcPr>
          <w:p>
            <w:pPr>
              <w:spacing w:after="0"/>
              <w:rPr>
                <w:rFonts w:ascii="宋体" w:hAnsi="宋体" w:eastAsia="宋体"/>
                <w:color w:val="000000"/>
                <w:sz w:val="21"/>
                <w:szCs w:val="21"/>
              </w:rPr>
            </w:pPr>
          </w:p>
        </w:tc>
        <w:tc>
          <w:tcPr>
            <w:tcW w:w="2408" w:type="dxa"/>
            <w:vMerge w:val="continue"/>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消耗件、易损件图清单</w:t>
            </w:r>
          </w:p>
        </w:tc>
        <w:tc>
          <w:tcPr>
            <w:tcW w:w="1635" w:type="dxa"/>
            <w:vMerge w:val="continue"/>
            <w:vAlign w:val="bottom"/>
          </w:tcPr>
          <w:p>
            <w:pPr>
              <w:spacing w:after="0"/>
              <w:rPr>
                <w:rFonts w:ascii="宋体" w:hAnsi="宋体" w:eastAsia="宋体"/>
                <w:color w:val="000000"/>
                <w:sz w:val="21"/>
                <w:szCs w:val="21"/>
              </w:rPr>
            </w:pPr>
          </w:p>
        </w:tc>
        <w:tc>
          <w:tcPr>
            <w:tcW w:w="2408" w:type="dxa"/>
            <w:vMerge w:val="continue"/>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3</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液压、气动及润滑系统</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原理图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eastAsia="宋体"/>
                <w:color w:val="C00000"/>
                <w:sz w:val="21"/>
                <w:szCs w:val="21"/>
              </w:rPr>
              <w:t>30</w:t>
            </w:r>
            <w:r>
              <w:rPr>
                <w:rFonts w:hint="eastAsia" w:ascii="宋体" w:hAnsi="宋体" w:eastAsia="宋体"/>
                <w:color w:val="000000"/>
                <w:sz w:val="21"/>
                <w:szCs w:val="21"/>
              </w:rPr>
              <w:t>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布管图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eastAsia="宋体"/>
                <w:color w:val="C00000"/>
                <w:sz w:val="21"/>
                <w:szCs w:val="21"/>
              </w:rPr>
              <w:t>30</w:t>
            </w:r>
            <w:r>
              <w:rPr>
                <w:rFonts w:hint="eastAsia" w:ascii="宋体" w:hAnsi="宋体" w:eastAsia="宋体"/>
                <w:color w:val="000000"/>
                <w:sz w:val="21"/>
                <w:szCs w:val="21"/>
              </w:rPr>
              <w:t>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4</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公辅介质施工图</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jc w:val="center"/>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压缩空气、水等介质施工图</w:t>
            </w:r>
          </w:p>
        </w:tc>
        <w:tc>
          <w:tcPr>
            <w:tcW w:w="1635" w:type="dxa"/>
            <w:vAlign w:val="bottom"/>
          </w:tcPr>
          <w:p>
            <w:pPr>
              <w:spacing w:after="0"/>
              <w:rPr>
                <w:rFonts w:ascii="宋体" w:hAnsi="宋体" w:eastAsia="宋体"/>
                <w:b/>
                <w:bCs/>
                <w:color w:val="000000"/>
                <w:sz w:val="21"/>
                <w:szCs w:val="21"/>
              </w:rPr>
            </w:pPr>
            <w:r>
              <w:rPr>
                <w:rFonts w:hint="eastAsia" w:ascii="宋体" w:hAnsi="宋体" w:eastAsia="宋体"/>
                <w:color w:val="000000"/>
                <w:sz w:val="21"/>
                <w:szCs w:val="21"/>
              </w:rPr>
              <w:t>合同签订</w:t>
            </w:r>
            <w:r>
              <w:rPr>
                <w:rFonts w:hint="eastAsia" w:ascii="宋体" w:hAnsi="宋体" w:eastAsia="宋体"/>
                <w:color w:val="C00000"/>
                <w:sz w:val="21"/>
                <w:szCs w:val="21"/>
              </w:rPr>
              <w:t>30</w:t>
            </w:r>
            <w:r>
              <w:rPr>
                <w:rFonts w:hint="eastAsia" w:ascii="宋体" w:hAnsi="宋体" w:eastAsia="宋体"/>
                <w:color w:val="000000"/>
                <w:sz w:val="21"/>
                <w:szCs w:val="21"/>
              </w:rPr>
              <w:t>天内</w:t>
            </w:r>
          </w:p>
        </w:tc>
        <w:tc>
          <w:tcPr>
            <w:tcW w:w="2408" w:type="dxa"/>
            <w:vAlign w:val="bottom"/>
          </w:tcPr>
          <w:p>
            <w:pPr>
              <w:spacing w:after="0"/>
              <w:rPr>
                <w:rFonts w:ascii="宋体" w:hAnsi="宋体" w:eastAsia="宋体"/>
                <w:b/>
                <w:bCs/>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5</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电气及控制</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center"/>
          </w:tcPr>
          <w:p>
            <w:pPr>
              <w:spacing w:after="0"/>
              <w:jc w:val="center"/>
              <w:rPr>
                <w:rFonts w:ascii="宋体" w:hAnsi="宋体" w:eastAsia="宋体"/>
                <w:color w:val="000000"/>
                <w:sz w:val="21"/>
                <w:szCs w:val="21"/>
              </w:rPr>
            </w:pPr>
          </w:p>
        </w:tc>
        <w:tc>
          <w:tcPr>
            <w:tcW w:w="4192" w:type="dxa"/>
            <w:vAlign w:val="center"/>
          </w:tcPr>
          <w:p>
            <w:pPr>
              <w:spacing w:after="0"/>
              <w:textAlignment w:val="bottom"/>
              <w:rPr>
                <w:rFonts w:ascii="宋体" w:hAnsi="宋体" w:eastAsia="宋体"/>
                <w:sz w:val="21"/>
                <w:szCs w:val="21"/>
              </w:rPr>
            </w:pPr>
            <w:r>
              <w:rPr>
                <w:rFonts w:hint="eastAsia" w:ascii="宋体" w:hAnsi="宋体" w:eastAsia="宋体"/>
                <w:sz w:val="21"/>
                <w:szCs w:val="21"/>
              </w:rPr>
              <w:t>电气及自动化系统施工图（含电缆表）</w:t>
            </w:r>
          </w:p>
        </w:tc>
        <w:tc>
          <w:tcPr>
            <w:tcW w:w="1635" w:type="dxa"/>
            <w:vAlign w:val="bottom"/>
          </w:tcPr>
          <w:p>
            <w:pPr>
              <w:spacing w:after="0"/>
              <w:textAlignment w:val="bottom"/>
              <w:rPr>
                <w:rFonts w:ascii="宋体" w:hAnsi="宋体" w:eastAsia="宋体"/>
                <w:sz w:val="21"/>
                <w:szCs w:val="21"/>
              </w:rPr>
            </w:pPr>
            <w:r>
              <w:rPr>
                <w:rFonts w:hint="eastAsia" w:ascii="宋体" w:hAnsi="宋体" w:eastAsia="宋体"/>
                <w:sz w:val="21"/>
                <w:szCs w:val="21"/>
              </w:rPr>
              <w:t>合同签订30天内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sz w:val="21"/>
                <w:szCs w:val="21"/>
              </w:rPr>
            </w:pPr>
            <w:r>
              <w:rPr>
                <w:rFonts w:hint="eastAsia" w:ascii="宋体" w:hAnsi="宋体" w:eastAsia="宋体"/>
                <w:sz w:val="21"/>
                <w:szCs w:val="21"/>
              </w:rPr>
              <w:t>PLC、上位机、触摸屏程序源代码</w:t>
            </w:r>
          </w:p>
        </w:tc>
        <w:tc>
          <w:tcPr>
            <w:tcW w:w="1635" w:type="dxa"/>
            <w:vAlign w:val="bottom"/>
          </w:tcPr>
          <w:p>
            <w:pPr>
              <w:spacing w:after="0"/>
              <w:textAlignment w:val="bottom"/>
              <w:rPr>
                <w:rFonts w:ascii="宋体" w:hAnsi="宋体" w:eastAsia="宋体"/>
                <w:sz w:val="21"/>
                <w:szCs w:val="21"/>
              </w:rPr>
            </w:pPr>
            <w:r>
              <w:rPr>
                <w:rFonts w:hint="eastAsia" w:ascii="宋体" w:hAnsi="宋体" w:eastAsia="宋体"/>
                <w:sz w:val="21"/>
                <w:szCs w:val="21"/>
              </w:rPr>
              <w:t>调试完成后</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应用软件显示画面及输出报表说明</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调试完成后</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6</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装置相关资料</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最终装置的使用说明书和功能描述</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各种培训资料、操作、维护、检修、安全说明书</w:t>
            </w:r>
          </w:p>
        </w:tc>
        <w:tc>
          <w:tcPr>
            <w:tcW w:w="1635" w:type="dxa"/>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纸版、电子版（word）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质量检验书和质保书</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纸版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技术资料使用中文，所有资料提供二份纸质文档，一份电子文档光盘（DVD），其中图纸应同时提供dwg和pdf两种格式。</w:t>
            </w:r>
          </w:p>
        </w:tc>
        <w:tc>
          <w:tcPr>
            <w:tcW w:w="1635" w:type="dxa"/>
            <w:vAlign w:val="bottom"/>
          </w:tcPr>
          <w:p>
            <w:pPr>
              <w:spacing w:after="0"/>
              <w:textAlignment w:val="bottom"/>
              <w:rPr>
                <w:rFonts w:ascii="宋体" w:hAnsi="宋体" w:eastAsia="宋体"/>
                <w:color w:val="000000"/>
                <w:sz w:val="21"/>
                <w:szCs w:val="21"/>
              </w:rPr>
            </w:pPr>
          </w:p>
        </w:tc>
        <w:tc>
          <w:tcPr>
            <w:tcW w:w="2408" w:type="dxa"/>
            <w:vAlign w:val="bottom"/>
          </w:tcPr>
          <w:p>
            <w:pPr>
              <w:spacing w:after="0"/>
              <w:textAlignment w:val="bottom"/>
              <w:rPr>
                <w:rFonts w:ascii="宋体" w:hAnsi="宋体" w:eastAsia="宋体"/>
                <w:color w:val="000000"/>
                <w:sz w:val="21"/>
                <w:szCs w:val="21"/>
              </w:rPr>
            </w:pPr>
          </w:p>
        </w:tc>
      </w:tr>
    </w:tbl>
    <w:p>
      <w:pPr>
        <w:spacing w:beforeLines="50" w:after="0" w:line="360" w:lineRule="auto"/>
        <w:rPr>
          <w:rFonts w:ascii="宋体" w:hAnsi="宋体" w:eastAsia="宋体" w:cs="Arial"/>
          <w:bCs/>
          <w:sz w:val="24"/>
          <w:szCs w:val="24"/>
        </w:rPr>
      </w:pPr>
      <w:r>
        <w:rPr>
          <w:rFonts w:hint="eastAsia" w:ascii="宋体" w:hAnsi="宋体" w:eastAsia="宋体" w:cs="Arial"/>
          <w:bCs/>
          <w:sz w:val="24"/>
          <w:szCs w:val="24"/>
        </w:rPr>
        <w:t>注</w:t>
      </w:r>
      <w:r>
        <w:rPr>
          <w:rFonts w:hint="eastAsia" w:ascii="宋体" w:hAnsi="宋体" w:eastAsia="宋体" w:cs="宋体"/>
          <w:bCs/>
          <w:sz w:val="24"/>
          <w:szCs w:val="24"/>
        </w:rPr>
        <w:t>1：</w:t>
      </w:r>
      <w:r>
        <w:rPr>
          <w:rFonts w:hint="eastAsia" w:ascii="宋体" w:hAnsi="宋体" w:eastAsia="宋体" w:cs="Arial"/>
          <w:bCs/>
          <w:sz w:val="24"/>
          <w:szCs w:val="24"/>
        </w:rPr>
        <w:t>所有日期均指日历日。</w:t>
      </w:r>
    </w:p>
    <w:p>
      <w:pPr>
        <w:tabs>
          <w:tab w:val="left" w:pos="735"/>
        </w:tabs>
        <w:spacing w:after="0" w:line="360" w:lineRule="auto"/>
        <w:rPr>
          <w:rFonts w:ascii="宋体" w:hAnsi="宋体" w:eastAsia="宋体" w:cs="宋体"/>
          <w:bCs/>
          <w:sz w:val="24"/>
          <w:szCs w:val="24"/>
        </w:rPr>
      </w:pPr>
      <w:r>
        <w:rPr>
          <w:rFonts w:hint="eastAsia" w:ascii="宋体" w:hAnsi="宋体" w:eastAsia="宋体" w:cs="Arial"/>
          <w:bCs/>
          <w:sz w:val="24"/>
          <w:szCs w:val="24"/>
        </w:rPr>
        <w:t>注</w:t>
      </w:r>
      <w:r>
        <w:rPr>
          <w:rFonts w:hint="eastAsia" w:ascii="宋体" w:hAnsi="宋体" w:eastAsia="宋体" w:cs="宋体"/>
          <w:bCs/>
          <w:sz w:val="24"/>
          <w:szCs w:val="24"/>
        </w:rPr>
        <w:t>2：投标方交付的资料包括纸质资料和电子文件，表中资料份数为纸版资料份数。</w:t>
      </w:r>
      <w:r>
        <w:rPr>
          <w:rFonts w:hint="eastAsia" w:ascii="宋体" w:hAnsi="宋体" w:eastAsia="宋体" w:cs="宋体"/>
          <w:bCs/>
          <w:sz w:val="24"/>
          <w:szCs w:val="24"/>
          <w:lang w:eastAsia="zh-CN"/>
        </w:rPr>
        <w:t>纸质版资料必须有设计人员签字和盖章。</w:t>
      </w:r>
      <w:r>
        <w:rPr>
          <w:rFonts w:hint="eastAsia" w:ascii="宋体" w:hAnsi="宋体" w:eastAsia="宋体" w:cs="宋体"/>
          <w:bCs/>
          <w:sz w:val="24"/>
          <w:szCs w:val="24"/>
        </w:rPr>
        <w:t>要求电子文件可编辑，电子文件类型分别为：dwg文件；doc文件；xls文件等。</w:t>
      </w:r>
    </w:p>
    <w:p>
      <w:pPr>
        <w:tabs>
          <w:tab w:val="left" w:pos="735"/>
        </w:tabs>
        <w:spacing w:after="0" w:line="360" w:lineRule="auto"/>
        <w:rPr>
          <w:rFonts w:ascii="宋体" w:hAnsi="宋体" w:eastAsia="宋体"/>
          <w:sz w:val="24"/>
          <w:szCs w:val="24"/>
        </w:rPr>
      </w:pPr>
      <w:r>
        <w:rPr>
          <w:rFonts w:hint="eastAsia" w:ascii="宋体" w:hAnsi="宋体" w:eastAsia="宋体" w:cs="Arial"/>
          <w:bCs/>
          <w:sz w:val="24"/>
          <w:szCs w:val="24"/>
        </w:rPr>
        <w:t>注</w:t>
      </w:r>
      <w:r>
        <w:rPr>
          <w:rFonts w:hint="eastAsia" w:ascii="宋体" w:hAnsi="宋体" w:eastAsia="宋体" w:cs="宋体"/>
          <w:bCs/>
          <w:sz w:val="24"/>
          <w:szCs w:val="24"/>
        </w:rPr>
        <w:t>3：</w:t>
      </w:r>
      <w:r>
        <w:rPr>
          <w:rFonts w:ascii="宋体" w:hAnsi="宋体" w:eastAsia="宋体"/>
          <w:sz w:val="24"/>
          <w:szCs w:val="24"/>
        </w:rPr>
        <w:t>对于没有列入技术资料清单，却是工程所必需的文件和资料，</w:t>
      </w:r>
      <w:r>
        <w:rPr>
          <w:rFonts w:hint="eastAsia" w:ascii="宋体" w:hAnsi="宋体" w:eastAsia="宋体"/>
          <w:sz w:val="24"/>
          <w:szCs w:val="24"/>
        </w:rPr>
        <w:t>投标方</w:t>
      </w:r>
      <w:r>
        <w:rPr>
          <w:rFonts w:ascii="宋体" w:hAnsi="宋体" w:eastAsia="宋体"/>
          <w:sz w:val="24"/>
          <w:szCs w:val="24"/>
        </w:rPr>
        <w:t>应按</w:t>
      </w:r>
      <w:r>
        <w:rPr>
          <w:rFonts w:hint="eastAsia" w:ascii="宋体" w:hAnsi="宋体" w:eastAsia="宋体"/>
          <w:sz w:val="24"/>
          <w:szCs w:val="24"/>
        </w:rPr>
        <w:t>招标方</w:t>
      </w:r>
      <w:r>
        <w:rPr>
          <w:rFonts w:ascii="宋体" w:hAnsi="宋体" w:eastAsia="宋体"/>
          <w:sz w:val="24"/>
          <w:szCs w:val="24"/>
        </w:rPr>
        <w:t>要求及时免费提供。如需改进时，</w:t>
      </w:r>
      <w:r>
        <w:rPr>
          <w:rFonts w:hint="eastAsia" w:ascii="宋体" w:hAnsi="宋体" w:eastAsia="宋体"/>
          <w:sz w:val="24"/>
          <w:szCs w:val="24"/>
        </w:rPr>
        <w:t>投标方</w:t>
      </w:r>
      <w:r>
        <w:rPr>
          <w:rFonts w:ascii="宋体" w:hAnsi="宋体" w:eastAsia="宋体"/>
          <w:sz w:val="24"/>
          <w:szCs w:val="24"/>
        </w:rPr>
        <w:t>应及时免费提供新的技术资料。</w:t>
      </w:r>
    </w:p>
    <w:p>
      <w:pPr>
        <w:tabs>
          <w:tab w:val="left" w:pos="735"/>
        </w:tabs>
        <w:spacing w:after="0" w:line="360" w:lineRule="auto"/>
        <w:rPr>
          <w:rFonts w:hint="eastAsia" w:ascii="宋体" w:hAnsi="宋体" w:eastAsia="宋体"/>
          <w:sz w:val="24"/>
          <w:szCs w:val="24"/>
        </w:rPr>
      </w:pPr>
      <w:r>
        <w:rPr>
          <w:rFonts w:hint="eastAsia" w:ascii="宋体" w:hAnsi="宋体" w:eastAsia="宋体" w:cs="Arial"/>
          <w:bCs/>
          <w:sz w:val="24"/>
          <w:szCs w:val="24"/>
        </w:rPr>
        <w:t>注</w:t>
      </w:r>
      <w:r>
        <w:rPr>
          <w:rFonts w:hint="eastAsia" w:ascii="宋体" w:hAnsi="宋体" w:eastAsia="宋体"/>
          <w:sz w:val="24"/>
          <w:szCs w:val="24"/>
        </w:rPr>
        <w:t>4：投标方涉及第三方专利和其他知识产权纠纷的，由投标方自行负责，与招标方无关。</w:t>
      </w:r>
    </w:p>
    <w:p>
      <w:pPr>
        <w:pStyle w:val="2"/>
        <w:rPr>
          <w:rFonts w:hint="default" w:eastAsia="宋体"/>
          <w:lang w:val="en-US" w:eastAsia="zh-CN"/>
        </w:rPr>
      </w:pPr>
      <w:r>
        <w:rPr>
          <w:rFonts w:hint="eastAsia" w:eastAsia="宋体"/>
          <w:sz w:val="24"/>
          <w:szCs w:val="24"/>
          <w:lang w:eastAsia="zh-CN"/>
        </w:rPr>
        <w:t>注</w:t>
      </w:r>
      <w:r>
        <w:rPr>
          <w:rFonts w:hint="eastAsia" w:eastAsia="宋体"/>
          <w:sz w:val="24"/>
          <w:szCs w:val="24"/>
          <w:lang w:val="en-US" w:eastAsia="zh-CN"/>
        </w:rPr>
        <w:t>5：纸质版图纸必须有设计人员签字、盖章。</w:t>
      </w:r>
    </w:p>
    <w:p>
      <w:pPr>
        <w:spacing w:after="0" w:line="360" w:lineRule="auto"/>
        <w:rPr>
          <w:rFonts w:ascii="宋体" w:hAnsi="宋体" w:eastAsia="宋体"/>
          <w:b/>
          <w:sz w:val="24"/>
          <w:szCs w:val="24"/>
        </w:rPr>
      </w:pPr>
      <w:r>
        <w:rPr>
          <w:rFonts w:hint="eastAsia" w:ascii="宋体" w:hAnsi="宋体" w:eastAsia="宋体"/>
          <w:b/>
          <w:sz w:val="24"/>
          <w:szCs w:val="24"/>
          <w:lang w:eastAsia="zh-CN"/>
        </w:rPr>
        <w:t>七</w:t>
      </w:r>
      <w:r>
        <w:rPr>
          <w:rFonts w:hint="eastAsia" w:ascii="宋体" w:hAnsi="宋体" w:eastAsia="宋体"/>
          <w:b/>
          <w:sz w:val="24"/>
          <w:szCs w:val="24"/>
        </w:rPr>
        <w:t>、安装、调试与服务指导</w:t>
      </w:r>
    </w:p>
    <w:p>
      <w:pPr>
        <w:widowControl w:val="0"/>
        <w:adjustRightInd/>
        <w:snapToGrid/>
        <w:spacing w:after="0" w:line="360" w:lineRule="auto"/>
        <w:jc w:val="both"/>
        <w:rPr>
          <w:rFonts w:ascii="宋体" w:hAnsi="宋体" w:eastAsia="宋体"/>
          <w:b/>
          <w:sz w:val="24"/>
          <w:szCs w:val="24"/>
        </w:rPr>
      </w:pPr>
      <w:r>
        <w:rPr>
          <w:rFonts w:hint="eastAsia" w:ascii="宋体" w:hAnsi="宋体" w:eastAsia="宋体"/>
          <w:b/>
          <w:sz w:val="24"/>
          <w:szCs w:val="24"/>
          <w:lang w:val="en-US" w:eastAsia="zh-CN"/>
        </w:rPr>
        <w:t>7</w:t>
      </w:r>
      <w:r>
        <w:rPr>
          <w:rFonts w:hint="eastAsia" w:ascii="宋体" w:hAnsi="宋体" w:eastAsia="宋体"/>
          <w:b/>
          <w:sz w:val="24"/>
          <w:szCs w:val="24"/>
        </w:rPr>
        <w:t>.1 设备制作安装过程中的界点划分</w:t>
      </w:r>
    </w:p>
    <w:p>
      <w:pPr>
        <w:spacing w:after="0" w:line="360" w:lineRule="auto"/>
        <w:rPr>
          <w:rFonts w:ascii="宋体" w:hAnsi="宋体" w:eastAsia="宋体"/>
          <w:b/>
          <w:sz w:val="24"/>
          <w:szCs w:val="24"/>
        </w:rPr>
      </w:pPr>
      <w:r>
        <w:rPr>
          <w:rFonts w:hint="eastAsia" w:ascii="宋体" w:hAnsi="宋体" w:eastAsia="宋体"/>
          <w:b/>
          <w:sz w:val="24"/>
          <w:szCs w:val="24"/>
          <w:lang w:val="en-US" w:eastAsia="zh-CN"/>
        </w:rPr>
        <w:t>7</w:t>
      </w:r>
      <w:r>
        <w:rPr>
          <w:rFonts w:hint="eastAsia" w:ascii="宋体" w:hAnsi="宋体" w:eastAsia="宋体"/>
          <w:b/>
          <w:sz w:val="24"/>
          <w:szCs w:val="24"/>
        </w:rPr>
        <w:t>.1.1 招标方：</w:t>
      </w:r>
    </w:p>
    <w:p>
      <w:pPr>
        <w:tabs>
          <w:tab w:val="left" w:pos="284"/>
          <w:tab w:val="left" w:pos="426"/>
          <w:tab w:val="left" w:pos="993"/>
        </w:tabs>
        <w:spacing w:after="0" w:line="360" w:lineRule="auto"/>
        <w:rPr>
          <w:rFonts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.1.1.1 将动力电供至投标方电源总开关柜。</w:t>
      </w:r>
    </w:p>
    <w:p>
      <w:pPr>
        <w:tabs>
          <w:tab w:val="left" w:pos="284"/>
          <w:tab w:val="left" w:pos="426"/>
          <w:tab w:val="left" w:pos="993"/>
        </w:tabs>
        <w:spacing w:after="0" w:line="360" w:lineRule="auto"/>
        <w:rPr>
          <w:rFonts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 xml:space="preserve">.1.1.2 </w:t>
      </w:r>
      <w:r>
        <w:rPr>
          <w:rFonts w:hint="eastAsia" w:ascii="宋体" w:hAnsi="宋体" w:eastAsia="宋体"/>
          <w:sz w:val="24"/>
          <w:szCs w:val="24"/>
        </w:rPr>
        <w:t>按投标方的土建基础</w:t>
      </w:r>
      <w:r>
        <w:rPr>
          <w:rFonts w:hint="eastAsia" w:ascii="宋体" w:hAnsi="宋体" w:eastAsia="宋体"/>
          <w:sz w:val="24"/>
          <w:szCs w:val="24"/>
          <w:lang w:eastAsia="zh-CN"/>
        </w:rPr>
        <w:t>条件做好土建基础设计，</w:t>
      </w:r>
      <w:r>
        <w:rPr>
          <w:rFonts w:hint="eastAsia" w:ascii="宋体" w:hAnsi="宋体" w:eastAsia="宋体"/>
          <w:sz w:val="24"/>
          <w:szCs w:val="24"/>
        </w:rPr>
        <w:t>做好土建基础的施工</w:t>
      </w:r>
      <w:r>
        <w:rPr>
          <w:rFonts w:hint="eastAsia" w:ascii="宋体" w:hAnsi="宋体" w:eastAsia="宋体" w:cs="宋体"/>
          <w:bCs/>
          <w:sz w:val="24"/>
          <w:szCs w:val="24"/>
        </w:rPr>
        <w:t>。</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.1.1.</w:t>
      </w:r>
      <w:r>
        <w:rPr>
          <w:rFonts w:hint="eastAsia" w:ascii="宋体" w:hAnsi="宋体" w:eastAsia="宋体"/>
          <w:sz w:val="24"/>
          <w:szCs w:val="24"/>
          <w:lang w:val="en-US" w:eastAsia="zh-CN"/>
        </w:rPr>
        <w:t>3</w:t>
      </w:r>
      <w:r>
        <w:rPr>
          <w:rFonts w:hint="eastAsia" w:ascii="宋体" w:hAnsi="宋体" w:eastAsia="宋体"/>
          <w:sz w:val="24"/>
          <w:szCs w:val="24"/>
        </w:rPr>
        <w:t>安装过程中提供电力供应。</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.1.1.</w:t>
      </w:r>
      <w:r>
        <w:rPr>
          <w:rFonts w:hint="eastAsia" w:ascii="宋体" w:hAnsi="宋体" w:eastAsia="宋体"/>
          <w:sz w:val="24"/>
          <w:szCs w:val="24"/>
          <w:lang w:val="en-US" w:eastAsia="zh-CN"/>
        </w:rPr>
        <w:t>4</w:t>
      </w:r>
      <w:r>
        <w:rPr>
          <w:rFonts w:hint="eastAsia" w:ascii="宋体" w:hAnsi="宋体" w:eastAsia="宋体"/>
          <w:sz w:val="24"/>
          <w:szCs w:val="24"/>
        </w:rPr>
        <w:t>安装过程中配合联系吊运等外协设备的使用。</w:t>
      </w:r>
    </w:p>
    <w:p>
      <w:pPr>
        <w:spacing w:after="0" w:line="360" w:lineRule="auto"/>
        <w:rPr>
          <w:rFonts w:ascii="宋体" w:hAnsi="宋体" w:eastAsia="宋体"/>
          <w:b/>
          <w:bCs/>
          <w:sz w:val="24"/>
          <w:szCs w:val="24"/>
        </w:rPr>
      </w:pPr>
      <w:r>
        <w:rPr>
          <w:rFonts w:hint="eastAsia" w:ascii="宋体" w:hAnsi="宋体" w:eastAsia="宋体"/>
          <w:b/>
          <w:bCs/>
          <w:sz w:val="24"/>
          <w:szCs w:val="24"/>
          <w:lang w:val="en-US" w:eastAsia="zh-CN"/>
        </w:rPr>
        <w:t>7</w:t>
      </w:r>
      <w:r>
        <w:rPr>
          <w:rFonts w:hint="eastAsia" w:ascii="宋体" w:hAnsi="宋体" w:eastAsia="宋体"/>
          <w:b/>
          <w:bCs/>
          <w:sz w:val="24"/>
          <w:szCs w:val="24"/>
        </w:rPr>
        <w:t>.1.2投标方：</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.1.2.1 负责本系统所需的各设备的制作、安装、调试工作；</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.1.2.2 试车时全线</w:t>
      </w:r>
      <w:r>
        <w:rPr>
          <w:rFonts w:hint="eastAsia" w:ascii="宋体" w:hAnsi="宋体" w:eastAsia="宋体"/>
          <w:sz w:val="24"/>
          <w:szCs w:val="24"/>
          <w:lang w:eastAsia="zh-CN"/>
        </w:rPr>
        <w:t>液压油、</w:t>
      </w:r>
      <w:r>
        <w:rPr>
          <w:rFonts w:hint="eastAsia" w:ascii="宋体" w:hAnsi="宋体" w:eastAsia="宋体"/>
          <w:sz w:val="24"/>
          <w:szCs w:val="24"/>
        </w:rPr>
        <w:t>各润滑点用润滑油</w:t>
      </w:r>
      <w:r>
        <w:rPr>
          <w:rFonts w:hint="eastAsia" w:ascii="宋体" w:hAnsi="宋体" w:eastAsia="宋体"/>
          <w:sz w:val="24"/>
          <w:szCs w:val="24"/>
          <w:lang w:eastAsia="zh-CN"/>
        </w:rPr>
        <w:t>均</w:t>
      </w:r>
      <w:r>
        <w:rPr>
          <w:rFonts w:hint="eastAsia" w:ascii="宋体" w:hAnsi="宋体" w:eastAsia="宋体"/>
          <w:sz w:val="24"/>
          <w:szCs w:val="24"/>
        </w:rPr>
        <w:t>由投标方提供；</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.1.2.3 负责整线电控系统的安装调试；</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.1.2.4 对本系统的竣工进度负责；</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.1.2.5 严格执行《安装工艺操作规程》；</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.1.2.6 对现场施工安全负责；</w:t>
      </w:r>
    </w:p>
    <w:p>
      <w:pPr>
        <w:spacing w:after="0" w:line="360" w:lineRule="auto"/>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.1.2.7 严格遵守招标方的各项有关规章制度；</w:t>
      </w:r>
    </w:p>
    <w:p>
      <w:pPr>
        <w:spacing w:after="0" w:line="360" w:lineRule="auto"/>
        <w:rPr>
          <w:rFonts w:ascii="宋体" w:hAnsi="宋体" w:eastAsia="宋体" w:cs="宋体"/>
          <w:bCs/>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.1.2.8 不得采用淘汰名录里的设备。</w:t>
      </w:r>
    </w:p>
    <w:p>
      <w:pPr>
        <w:spacing w:after="0" w:line="360" w:lineRule="auto"/>
        <w:rPr>
          <w:rFonts w:ascii="宋体" w:hAnsi="宋体" w:eastAsia="宋体"/>
          <w:b/>
          <w:sz w:val="24"/>
          <w:szCs w:val="24"/>
        </w:rPr>
      </w:pPr>
      <w:bookmarkStart w:id="4" w:name="_Toc509309699"/>
      <w:r>
        <w:rPr>
          <w:rFonts w:hint="eastAsia" w:ascii="宋体" w:hAnsi="宋体" w:eastAsia="宋体"/>
          <w:b/>
          <w:sz w:val="24"/>
          <w:szCs w:val="24"/>
          <w:lang w:val="en-US" w:eastAsia="zh-CN"/>
        </w:rPr>
        <w:t>7</w:t>
      </w:r>
      <w:r>
        <w:rPr>
          <w:rFonts w:hint="eastAsia" w:ascii="宋体" w:hAnsi="宋体" w:eastAsia="宋体"/>
          <w:b/>
          <w:sz w:val="24"/>
          <w:szCs w:val="24"/>
        </w:rPr>
        <w:t>.2培训</w:t>
      </w:r>
      <w:r>
        <w:rPr>
          <w:rFonts w:hint="eastAsia" w:ascii="宋体" w:hAnsi="宋体" w:eastAsia="宋体"/>
          <w:sz w:val="24"/>
          <w:szCs w:val="24"/>
        </w:rPr>
        <w:t>（在招标方）</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.2.1 介绍设备的主要结构、工作原理、操作方法及注意事项。</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.2.2 介绍工程系统工作流程、操作方法及注意事项。</w:t>
      </w:r>
    </w:p>
    <w:p>
      <w:pPr>
        <w:spacing w:after="0" w:line="360" w:lineRule="auto"/>
        <w:rPr>
          <w:rFonts w:ascii="宋体" w:hAnsi="宋体" w:eastAsia="宋体"/>
          <w:sz w:val="24"/>
          <w:szCs w:val="24"/>
        </w:rPr>
      </w:pPr>
      <w:r>
        <w:rPr>
          <w:rFonts w:hint="eastAsia" w:ascii="宋体" w:hAnsi="宋体" w:eastAsia="宋体"/>
          <w:sz w:val="24"/>
          <w:szCs w:val="24"/>
        </w:rPr>
        <w:t>培训采取现场讲解与演示相结合的方法：</w:t>
      </w:r>
    </w:p>
    <w:p>
      <w:pPr>
        <w:spacing w:after="0" w:line="360" w:lineRule="auto"/>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.2.3调试时投标方安装调试人员对招标方相关工程技术人员及技术工人进行培训；</w:t>
      </w:r>
    </w:p>
    <w:p>
      <w:pPr>
        <w:spacing w:after="0" w:line="360" w:lineRule="auto"/>
        <w:rPr>
          <w:rFonts w:ascii="宋体" w:hAnsi="宋体" w:eastAsia="宋体"/>
          <w:color w:val="000000"/>
          <w:sz w:val="24"/>
          <w:szCs w:val="24"/>
        </w:rPr>
      </w:pPr>
      <w:r>
        <w:rPr>
          <w:rFonts w:hint="eastAsia" w:ascii="宋体" w:hAnsi="宋体" w:eastAsia="宋体"/>
          <w:sz w:val="24"/>
          <w:szCs w:val="24"/>
          <w:lang w:val="en-US" w:eastAsia="zh-CN"/>
        </w:rPr>
        <w:t>7</w:t>
      </w:r>
      <w:r>
        <w:rPr>
          <w:rFonts w:hint="eastAsia" w:ascii="宋体" w:hAnsi="宋体" w:eastAsia="宋体"/>
          <w:sz w:val="24"/>
          <w:szCs w:val="24"/>
        </w:rPr>
        <w:t>.2.4 投标方提供</w:t>
      </w:r>
      <w:r>
        <w:rPr>
          <w:rFonts w:hint="eastAsia" w:ascii="宋体" w:hAnsi="宋体" w:eastAsia="宋体"/>
          <w:sz w:val="24"/>
          <w:szCs w:val="24"/>
          <w:lang w:eastAsia="zh-CN"/>
        </w:rPr>
        <w:t>该系统中各设备</w:t>
      </w:r>
      <w:r>
        <w:rPr>
          <w:rFonts w:hint="eastAsia" w:ascii="宋体" w:hAnsi="宋体" w:eastAsia="宋体"/>
          <w:sz w:val="24"/>
          <w:szCs w:val="24"/>
        </w:rPr>
        <w:t>使用说明书及电控使用说明书，并编制设备安全操作规程、设备操作规程。</w:t>
      </w:r>
      <w:r>
        <w:rPr>
          <w:rFonts w:hint="eastAsia" w:ascii="宋体" w:hAnsi="宋体" w:eastAsia="宋体"/>
          <w:color w:val="000000"/>
          <w:sz w:val="24"/>
          <w:szCs w:val="24"/>
        </w:rPr>
        <w:t xml:space="preserve"> </w:t>
      </w:r>
    </w:p>
    <w:p>
      <w:pPr>
        <w:spacing w:after="0" w:line="360" w:lineRule="auto"/>
        <w:rPr>
          <w:rFonts w:ascii="宋体" w:hAnsi="宋体" w:eastAsia="宋体"/>
          <w:b/>
          <w:sz w:val="24"/>
          <w:szCs w:val="24"/>
        </w:rPr>
      </w:pPr>
      <w:r>
        <w:rPr>
          <w:rFonts w:hint="eastAsia" w:ascii="宋体" w:hAnsi="宋体" w:eastAsia="宋体"/>
          <w:b/>
          <w:color w:val="000000"/>
          <w:sz w:val="24"/>
          <w:szCs w:val="24"/>
          <w:lang w:val="en-US" w:eastAsia="zh-CN"/>
        </w:rPr>
        <w:t>7</w:t>
      </w:r>
      <w:r>
        <w:rPr>
          <w:rFonts w:hint="eastAsia" w:ascii="宋体" w:hAnsi="宋体" w:eastAsia="宋体"/>
          <w:b/>
          <w:color w:val="000000"/>
          <w:sz w:val="24"/>
          <w:szCs w:val="24"/>
        </w:rPr>
        <w:t>.3</w:t>
      </w:r>
      <w:r>
        <w:rPr>
          <w:rFonts w:hint="eastAsia" w:ascii="宋体" w:hAnsi="宋体" w:eastAsia="宋体"/>
          <w:b/>
          <w:sz w:val="24"/>
          <w:szCs w:val="24"/>
        </w:rPr>
        <w:t xml:space="preserve"> 备件和易损件技术要求</w:t>
      </w:r>
      <w:bookmarkEnd w:id="4"/>
    </w:p>
    <w:p>
      <w:pPr>
        <w:spacing w:after="0" w:line="360" w:lineRule="auto"/>
        <w:rPr>
          <w:rFonts w:ascii="宋体" w:hAnsi="宋体" w:eastAsia="宋体" w:cs="宋体"/>
          <w:bCs/>
          <w:sz w:val="24"/>
          <w:szCs w:val="24"/>
        </w:rPr>
      </w:pPr>
      <w:r>
        <w:rPr>
          <w:rFonts w:hint="eastAsia" w:ascii="宋体" w:hAnsi="宋体" w:eastAsia="宋体" w:cs="宋体"/>
          <w:bCs/>
          <w:sz w:val="24"/>
          <w:szCs w:val="24"/>
        </w:rPr>
        <w:t>投标方需向招标方提供设备标准配置备件及易损件清单。易损件清单须注明名称、规格型号、数量、优惠单价及生产厂家和公司。</w:t>
      </w:r>
    </w:p>
    <w:p>
      <w:pPr>
        <w:spacing w:after="0" w:line="360" w:lineRule="auto"/>
        <w:rPr>
          <w:rFonts w:ascii="宋体" w:hAnsi="宋体" w:eastAsia="宋体"/>
          <w:b/>
          <w:sz w:val="24"/>
          <w:szCs w:val="24"/>
        </w:rPr>
      </w:pPr>
      <w:bookmarkStart w:id="5" w:name="_Toc509309704"/>
      <w:r>
        <w:rPr>
          <w:rFonts w:hint="eastAsia" w:ascii="宋体" w:hAnsi="宋体" w:eastAsia="宋体"/>
          <w:b/>
          <w:sz w:val="24"/>
          <w:szCs w:val="24"/>
          <w:lang w:eastAsia="zh-CN"/>
        </w:rPr>
        <w:t>八</w:t>
      </w:r>
      <w:r>
        <w:rPr>
          <w:rFonts w:hint="eastAsia" w:ascii="宋体" w:hAnsi="宋体" w:eastAsia="宋体"/>
          <w:b/>
          <w:sz w:val="24"/>
          <w:szCs w:val="24"/>
        </w:rPr>
        <w:t>、设备包装、发运及安装</w:t>
      </w:r>
      <w:bookmarkEnd w:id="5"/>
    </w:p>
    <w:p>
      <w:pPr>
        <w:widowControl w:val="0"/>
        <w:tabs>
          <w:tab w:val="left" w:pos="312"/>
        </w:tabs>
        <w:adjustRightInd/>
        <w:snapToGrid/>
        <w:spacing w:after="0" w:line="360" w:lineRule="auto"/>
        <w:jc w:val="both"/>
        <w:rPr>
          <w:rFonts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.1 包装规定：适于长途运输，应防潮、防锈、防震等，适于陆地运输和整体吊装。</w:t>
      </w:r>
    </w:p>
    <w:p>
      <w:pPr>
        <w:widowControl w:val="0"/>
        <w:tabs>
          <w:tab w:val="left" w:pos="312"/>
        </w:tabs>
        <w:adjustRightInd/>
        <w:snapToGrid/>
        <w:spacing w:after="0" w:line="360" w:lineRule="auto"/>
        <w:jc w:val="both"/>
        <w:rPr>
          <w:rFonts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.2 运输规定：采取陆运方式到招标方指定地点。</w:t>
      </w:r>
    </w:p>
    <w:p>
      <w:pPr>
        <w:widowControl w:val="0"/>
        <w:tabs>
          <w:tab w:val="left" w:pos="312"/>
        </w:tabs>
        <w:adjustRightInd/>
        <w:snapToGrid/>
        <w:spacing w:after="0" w:line="360" w:lineRule="auto"/>
        <w:jc w:val="both"/>
        <w:rPr>
          <w:rFonts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.3 到货后的检查核对规定：按合同、技术协议、装箱清单。</w:t>
      </w:r>
    </w:p>
    <w:p>
      <w:pPr>
        <w:widowControl w:val="0"/>
        <w:tabs>
          <w:tab w:val="left" w:pos="312"/>
        </w:tabs>
        <w:adjustRightInd/>
        <w:snapToGrid/>
        <w:spacing w:after="0" w:line="360" w:lineRule="auto"/>
        <w:jc w:val="both"/>
        <w:rPr>
          <w:rFonts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.4 设备安装调试由投标方负责。</w:t>
      </w:r>
    </w:p>
    <w:p>
      <w:pPr>
        <w:spacing w:after="0" w:line="360" w:lineRule="auto"/>
        <w:rPr>
          <w:rFonts w:ascii="宋体" w:hAnsi="宋体" w:eastAsia="宋体"/>
          <w:b/>
          <w:sz w:val="24"/>
          <w:szCs w:val="24"/>
        </w:rPr>
      </w:pPr>
      <w:r>
        <w:rPr>
          <w:rFonts w:hint="eastAsia" w:ascii="宋体" w:hAnsi="宋体" w:eastAsia="宋体"/>
          <w:b/>
          <w:sz w:val="24"/>
          <w:szCs w:val="24"/>
          <w:lang w:eastAsia="zh-CN"/>
        </w:rPr>
        <w:t>九</w:t>
      </w:r>
      <w:r>
        <w:rPr>
          <w:rFonts w:hint="eastAsia" w:ascii="宋体" w:hAnsi="宋体" w:eastAsia="宋体"/>
          <w:b/>
          <w:sz w:val="24"/>
          <w:szCs w:val="24"/>
        </w:rPr>
        <w:t>、售后服务</w:t>
      </w:r>
    </w:p>
    <w:p>
      <w:pPr>
        <w:spacing w:after="0" w:line="360" w:lineRule="auto"/>
        <w:rPr>
          <w:rFonts w:ascii="宋体" w:hAnsi="宋体" w:eastAsia="宋体"/>
          <w:sz w:val="24"/>
        </w:rPr>
      </w:pPr>
      <w:r>
        <w:rPr>
          <w:rFonts w:hint="eastAsia" w:ascii="宋体" w:hAnsi="宋体" w:eastAsia="宋体"/>
          <w:sz w:val="24"/>
          <w:lang w:val="en-US" w:eastAsia="zh-CN"/>
        </w:rPr>
        <w:t>9</w:t>
      </w:r>
      <w:r>
        <w:rPr>
          <w:rFonts w:hint="eastAsia" w:ascii="宋体" w:hAnsi="宋体" w:eastAsia="宋体"/>
          <w:sz w:val="24"/>
        </w:rPr>
        <w:t>.1为保证</w:t>
      </w:r>
      <w:r>
        <w:rPr>
          <w:rFonts w:hint="eastAsia" w:ascii="宋体" w:hAnsi="宋体" w:eastAsia="宋体"/>
          <w:sz w:val="24"/>
          <w:lang w:eastAsia="zh-CN"/>
        </w:rPr>
        <w:t>自动打磨</w:t>
      </w:r>
      <w:r>
        <w:rPr>
          <w:rFonts w:hint="eastAsia" w:ascii="宋体" w:hAnsi="宋体" w:eastAsia="宋体"/>
          <w:sz w:val="24"/>
        </w:rPr>
        <w:t>系统的良好运行，为生产提供必要的设备保障，投标方需派技术全面的技术人员进行指导。投标方保证所供货物是全新的、未使用过</w:t>
      </w:r>
      <w:r>
        <w:rPr>
          <w:rFonts w:hint="eastAsia" w:ascii="宋体" w:hAnsi="宋体" w:eastAsia="宋体"/>
          <w:sz w:val="24"/>
          <w:lang w:eastAsia="zh-CN"/>
        </w:rPr>
        <w:t>的</w:t>
      </w:r>
      <w:r>
        <w:rPr>
          <w:rFonts w:hint="eastAsia" w:ascii="宋体" w:hAnsi="宋体" w:eastAsia="宋体"/>
          <w:sz w:val="24"/>
        </w:rPr>
        <w:t>，并完全符合合同规定的质量、规格和性能的要求，并对由于制造及材料缺陷而产生的故障负责。投标方所交产品的数量、规格、型号、质量等不符合同规定的，由投标方负责包换或包退，并承担调换或退货而支付的实际费用。因调换逾期者按逾期交货处理。在质保期内投标方收到通知应免费维修或更换有缺陷的货物或部件。交货时投标方应提供产品质量合格证明给招标方。</w:t>
      </w:r>
    </w:p>
    <w:p>
      <w:pPr>
        <w:spacing w:after="0"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.2</w:t>
      </w:r>
      <w:r>
        <w:rPr>
          <w:rFonts w:ascii="宋体" w:hAnsi="宋体" w:eastAsia="宋体"/>
          <w:sz w:val="24"/>
          <w:szCs w:val="24"/>
        </w:rPr>
        <w:t>投标方保证供货的所有设备、材料等(包括投标方的外购件在内)均符合技术说明书的规定。</w:t>
      </w:r>
    </w:p>
    <w:p>
      <w:pPr>
        <w:spacing w:after="0" w:line="360" w:lineRule="auto"/>
        <w:rPr>
          <w:rFonts w:ascii="宋体" w:hAnsi="宋体" w:eastAsia="宋体"/>
          <w:sz w:val="24"/>
          <w:szCs w:val="24"/>
        </w:rPr>
      </w:pPr>
      <w:bookmarkStart w:id="6" w:name="_Hlk1688817"/>
      <w:r>
        <w:rPr>
          <w:rFonts w:hint="eastAsia" w:ascii="宋体" w:hAnsi="宋体" w:eastAsia="宋体"/>
          <w:sz w:val="24"/>
          <w:szCs w:val="24"/>
          <w:lang w:val="en-US" w:eastAsia="zh-CN"/>
        </w:rPr>
        <w:t>9</w:t>
      </w:r>
      <w:r>
        <w:rPr>
          <w:rFonts w:hint="eastAsia" w:ascii="宋体" w:hAnsi="宋体" w:eastAsia="宋体"/>
          <w:sz w:val="24"/>
          <w:szCs w:val="24"/>
        </w:rPr>
        <w:t>.3设备质保期为招标方签署项目验收合格确认单后</w:t>
      </w:r>
      <w:r>
        <w:rPr>
          <w:rFonts w:ascii="宋体" w:hAnsi="宋体" w:eastAsia="宋体"/>
          <w:sz w:val="24"/>
          <w:szCs w:val="24"/>
        </w:rPr>
        <w:t>12</w:t>
      </w:r>
      <w:r>
        <w:rPr>
          <w:rFonts w:hint="eastAsia" w:ascii="宋体" w:hAnsi="宋体" w:eastAsia="宋体"/>
          <w:sz w:val="24"/>
          <w:szCs w:val="24"/>
        </w:rPr>
        <w:t>个月。</w:t>
      </w:r>
      <w:bookmarkEnd w:id="6"/>
      <w:r>
        <w:rPr>
          <w:rFonts w:hint="eastAsia" w:ascii="宋体" w:hAnsi="宋体" w:eastAsia="宋体" w:cs="微软雅黑"/>
          <w:color w:val="000000"/>
          <w:sz w:val="24"/>
          <w:szCs w:val="24"/>
          <w:lang w:val="zh-CN"/>
        </w:rPr>
        <w:t>因投标方原因导致修理或更换设备、部件的，则质保期为修理或更换后的设备、部件投入使用后</w:t>
      </w:r>
      <w:r>
        <w:rPr>
          <w:rFonts w:ascii="宋体" w:hAnsi="宋体" w:eastAsia="宋体" w:cs="微软雅黑"/>
          <w:color w:val="000000"/>
          <w:sz w:val="24"/>
          <w:szCs w:val="24"/>
          <w:lang w:val="zh-CN"/>
        </w:rPr>
        <w:t>12</w:t>
      </w:r>
      <w:r>
        <w:rPr>
          <w:rFonts w:hint="eastAsia" w:ascii="宋体" w:hAnsi="宋体" w:eastAsia="宋体" w:cs="微软雅黑"/>
          <w:color w:val="000000"/>
          <w:sz w:val="24"/>
          <w:szCs w:val="24"/>
          <w:lang w:val="zh-CN"/>
        </w:rPr>
        <w:t>个月。</w:t>
      </w:r>
    </w:p>
    <w:p>
      <w:pPr>
        <w:spacing w:after="0"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.4</w:t>
      </w:r>
      <w:r>
        <w:rPr>
          <w:rFonts w:ascii="宋体" w:hAnsi="宋体" w:eastAsia="宋体"/>
          <w:sz w:val="24"/>
          <w:szCs w:val="24"/>
        </w:rPr>
        <w:t>质保期内免费维护服务内容如下：</w:t>
      </w:r>
    </w:p>
    <w:p>
      <w:pPr>
        <w:spacing w:after="0"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.4.1</w:t>
      </w:r>
      <w:r>
        <w:rPr>
          <w:rFonts w:ascii="宋体" w:hAnsi="宋体" w:eastAsia="宋体"/>
          <w:sz w:val="24"/>
          <w:szCs w:val="24"/>
        </w:rPr>
        <w:t>故障处理：诊断、解决</w:t>
      </w:r>
      <w:r>
        <w:rPr>
          <w:rFonts w:hint="eastAsia" w:ascii="宋体" w:hAnsi="宋体" w:eastAsia="宋体"/>
          <w:sz w:val="24"/>
          <w:szCs w:val="24"/>
        </w:rPr>
        <w:t>设备运行</w:t>
      </w:r>
      <w:r>
        <w:rPr>
          <w:rFonts w:ascii="宋体" w:hAnsi="宋体" w:eastAsia="宋体"/>
          <w:sz w:val="24"/>
          <w:szCs w:val="24"/>
        </w:rPr>
        <w:t>故障，对程序错误及缺陷进行</w:t>
      </w:r>
      <w:r>
        <w:rPr>
          <w:rFonts w:hint="eastAsia" w:ascii="宋体" w:hAnsi="宋体" w:eastAsia="宋体"/>
          <w:sz w:val="24"/>
          <w:szCs w:val="24"/>
        </w:rPr>
        <w:t>排查处理</w:t>
      </w:r>
      <w:r>
        <w:rPr>
          <w:rFonts w:ascii="宋体" w:hAnsi="宋体" w:eastAsia="宋体"/>
          <w:sz w:val="24"/>
          <w:szCs w:val="24"/>
        </w:rPr>
        <w:t>。</w:t>
      </w:r>
    </w:p>
    <w:p>
      <w:pPr>
        <w:spacing w:after="0"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 xml:space="preserve">.4.2 </w:t>
      </w:r>
      <w:r>
        <w:rPr>
          <w:rFonts w:ascii="宋体" w:hAnsi="宋体" w:eastAsia="宋体"/>
          <w:sz w:val="24"/>
          <w:szCs w:val="24"/>
        </w:rPr>
        <w:t>技术咨询：解答用户使用中的常见问题。</w:t>
      </w:r>
    </w:p>
    <w:p>
      <w:pPr>
        <w:spacing w:after="0"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.4.3 定期检修：投标方需在质保期内为招标方提供检修、检查、保养服务。</w:t>
      </w:r>
    </w:p>
    <w:p>
      <w:pPr>
        <w:spacing w:after="0" w:line="360" w:lineRule="auto"/>
        <w:rPr>
          <w:rFonts w:ascii="宋体" w:hAnsi="宋体" w:eastAsia="宋体"/>
          <w:sz w:val="24"/>
          <w:szCs w:val="24"/>
        </w:rPr>
      </w:pPr>
      <w:r>
        <w:rPr>
          <w:rFonts w:ascii="宋体" w:hAnsi="宋体" w:eastAsia="宋体"/>
          <w:sz w:val="24"/>
          <w:szCs w:val="24"/>
        </w:rPr>
        <w:t>以上维护服务，投标方将在接到</w:t>
      </w:r>
      <w:r>
        <w:rPr>
          <w:rFonts w:hint="eastAsia" w:ascii="宋体" w:hAnsi="宋体" w:eastAsia="宋体"/>
          <w:sz w:val="24"/>
          <w:szCs w:val="24"/>
        </w:rPr>
        <w:t>招标方</w:t>
      </w:r>
      <w:r>
        <w:rPr>
          <w:rFonts w:ascii="宋体" w:hAnsi="宋体" w:eastAsia="宋体"/>
          <w:sz w:val="24"/>
          <w:szCs w:val="24"/>
        </w:rPr>
        <w:t>通知后</w:t>
      </w:r>
      <w:r>
        <w:rPr>
          <w:rFonts w:hint="eastAsia" w:ascii="宋体" w:hAnsi="宋体" w:eastAsia="宋体"/>
          <w:sz w:val="24"/>
          <w:szCs w:val="24"/>
        </w:rPr>
        <w:t>2</w:t>
      </w:r>
      <w:r>
        <w:rPr>
          <w:rFonts w:ascii="宋体" w:hAnsi="宋体" w:eastAsia="宋体"/>
          <w:sz w:val="24"/>
          <w:szCs w:val="24"/>
        </w:rPr>
        <w:t>小时内通过电话、传真、E-Mail等形式进行</w:t>
      </w:r>
      <w:r>
        <w:rPr>
          <w:rFonts w:hint="eastAsia" w:ascii="宋体" w:hAnsi="宋体" w:eastAsia="宋体"/>
          <w:sz w:val="24"/>
          <w:szCs w:val="24"/>
        </w:rPr>
        <w:t>故障排查，若确需现场排除故障投标方24小时内到达现场，直至故障排除为止。故障不排除，本系统无法正常运行，人员不得撤离。</w:t>
      </w:r>
    </w:p>
    <w:p>
      <w:pPr>
        <w:spacing w:after="0"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 xml:space="preserve">.4.4 </w:t>
      </w:r>
      <w:r>
        <w:rPr>
          <w:rFonts w:ascii="宋体" w:hAnsi="宋体" w:eastAsia="宋体"/>
          <w:sz w:val="24"/>
          <w:szCs w:val="24"/>
        </w:rPr>
        <w:t>产品在合同规定的质保期内，发生损坏和缺陷，或者由于响应错误、材料、工艺、制造、装配、发送等原因造成的损坏，或是不满足合同的要求，招标方书面方式通知投标方，投标方将免费更换这些有损坏和有缺陷的设备；</w:t>
      </w:r>
      <w:r>
        <w:rPr>
          <w:rFonts w:hint="eastAsia" w:ascii="宋体" w:hAnsi="宋体" w:eastAsia="宋体"/>
          <w:sz w:val="24"/>
        </w:rPr>
        <w:t>质保期外的零配件更换，实行成本价并及时提供。</w:t>
      </w:r>
    </w:p>
    <w:p>
      <w:pPr>
        <w:spacing w:after="0"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 xml:space="preserve">.4.5 </w:t>
      </w:r>
      <w:r>
        <w:rPr>
          <w:rFonts w:ascii="宋体" w:hAnsi="宋体" w:eastAsia="宋体"/>
          <w:sz w:val="24"/>
          <w:szCs w:val="24"/>
        </w:rPr>
        <w:t>在接到招标方通知后，投标方虽经努力改进，但仍不满足合同要求，则招标方可按合同处理或更换这些设备，由此引起的费用由投标方承担。</w:t>
      </w:r>
    </w:p>
    <w:p>
      <w:pPr>
        <w:spacing w:after="0"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 xml:space="preserve">.4.6 </w:t>
      </w:r>
      <w:r>
        <w:rPr>
          <w:rFonts w:ascii="宋体" w:hAnsi="宋体" w:eastAsia="宋体"/>
          <w:sz w:val="24"/>
          <w:szCs w:val="24"/>
        </w:rPr>
        <w:t>质保期内设备经维修或更换后仍无法达到质量标准</w:t>
      </w:r>
      <w:r>
        <w:rPr>
          <w:rFonts w:hint="eastAsia" w:ascii="宋体" w:hAnsi="宋体" w:eastAsia="宋体"/>
          <w:sz w:val="24"/>
          <w:szCs w:val="24"/>
        </w:rPr>
        <w:t>，招标方有权退货并向投标方索赔</w:t>
      </w:r>
      <w:r>
        <w:rPr>
          <w:rFonts w:ascii="宋体" w:hAnsi="宋体" w:eastAsia="宋体"/>
          <w:sz w:val="24"/>
          <w:szCs w:val="24"/>
        </w:rPr>
        <w:t>。</w:t>
      </w:r>
    </w:p>
    <w:p>
      <w:pPr>
        <w:spacing w:after="0"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.4.7 质保期内投标方借故推脱或无理由拒绝招标方提出的维修、更换服务请求，招标方可以自行解决。维修工程量和维修费用经双方确认后（投标方得到招标方通知后，7日内投标方不配合确认的视为投标方接受），从质保金内扣除。</w:t>
      </w:r>
    </w:p>
    <w:p>
      <w:pPr>
        <w:spacing w:after="0" w:line="360" w:lineRule="auto"/>
      </w:pPr>
      <w:r>
        <w:rPr>
          <w:rFonts w:hint="eastAsia" w:ascii="宋体" w:hAnsi="宋体" w:eastAsia="宋体"/>
          <w:sz w:val="24"/>
          <w:szCs w:val="24"/>
          <w:lang w:val="en-US" w:eastAsia="zh-CN"/>
        </w:rPr>
        <w:t>9</w:t>
      </w:r>
      <w:r>
        <w:rPr>
          <w:rFonts w:hint="eastAsia" w:ascii="宋体" w:hAnsi="宋体" w:eastAsia="宋体"/>
          <w:sz w:val="24"/>
          <w:szCs w:val="24"/>
        </w:rPr>
        <w:t>.4.8 质保期内若因招标方原因造成的设备损坏，</w:t>
      </w:r>
      <w:r>
        <w:rPr>
          <w:rFonts w:ascii="宋体" w:hAnsi="宋体" w:eastAsia="宋体"/>
          <w:sz w:val="24"/>
          <w:szCs w:val="24"/>
        </w:rPr>
        <w:t>投标方对</w:t>
      </w:r>
      <w:r>
        <w:rPr>
          <w:rFonts w:hint="eastAsia" w:ascii="宋体" w:hAnsi="宋体" w:eastAsia="宋体"/>
          <w:sz w:val="24"/>
          <w:szCs w:val="24"/>
        </w:rPr>
        <w:t>治理</w:t>
      </w:r>
      <w:r>
        <w:rPr>
          <w:rFonts w:ascii="宋体" w:hAnsi="宋体" w:eastAsia="宋体"/>
          <w:sz w:val="24"/>
          <w:szCs w:val="24"/>
        </w:rPr>
        <w:t>设备的维修、更换服务</w:t>
      </w:r>
      <w:r>
        <w:rPr>
          <w:rFonts w:hint="eastAsia" w:ascii="宋体" w:hAnsi="宋体" w:eastAsia="宋体"/>
          <w:sz w:val="24"/>
          <w:szCs w:val="24"/>
          <w:lang w:eastAsia="zh-CN"/>
        </w:rPr>
        <w:t>，</w:t>
      </w:r>
      <w:r>
        <w:rPr>
          <w:rFonts w:hint="eastAsia" w:ascii="宋体" w:hAnsi="宋体" w:eastAsia="宋体"/>
          <w:sz w:val="24"/>
          <w:szCs w:val="24"/>
        </w:rPr>
        <w:t>只</w:t>
      </w:r>
      <w:r>
        <w:rPr>
          <w:rFonts w:ascii="宋体" w:hAnsi="宋体" w:eastAsia="宋体"/>
          <w:sz w:val="24"/>
          <w:szCs w:val="24"/>
        </w:rPr>
        <w:t>收取成本费</w:t>
      </w:r>
      <w:r>
        <w:rPr>
          <w:rFonts w:hint="eastAsia" w:ascii="宋体" w:hAnsi="宋体" w:eastAsia="宋体"/>
          <w:sz w:val="24"/>
          <w:szCs w:val="24"/>
        </w:rPr>
        <w:t>。</w:t>
      </w:r>
    </w:p>
    <w:p>
      <w:pPr>
        <w:widowControl w:val="0"/>
        <w:spacing w:after="0" w:line="360" w:lineRule="auto"/>
        <w:rPr>
          <w:rFonts w:ascii="宋体" w:eastAsia="宋体"/>
          <w:b/>
          <w:bCs/>
          <w:color w:val="000000"/>
          <w:sz w:val="24"/>
        </w:rPr>
      </w:pPr>
      <w:bookmarkStart w:id="7" w:name="_Toc294085365"/>
      <w:r>
        <w:rPr>
          <w:rFonts w:hint="eastAsia" w:ascii="宋体" w:eastAsia="宋体"/>
          <w:b/>
          <w:bCs/>
          <w:color w:val="000000"/>
          <w:sz w:val="24"/>
          <w:lang w:eastAsia="zh-CN"/>
        </w:rPr>
        <w:t>十</w:t>
      </w:r>
      <w:r>
        <w:rPr>
          <w:rFonts w:hint="eastAsia" w:ascii="宋体" w:eastAsia="宋体"/>
          <w:b/>
          <w:bCs/>
          <w:color w:val="000000"/>
          <w:sz w:val="24"/>
        </w:rPr>
        <w:t>、投标书内容和要求</w:t>
      </w:r>
      <w:bookmarkEnd w:id="7"/>
    </w:p>
    <w:p>
      <w:pPr>
        <w:widowControl w:val="0"/>
        <w:tabs>
          <w:tab w:val="left" w:pos="735"/>
        </w:tabs>
        <w:spacing w:after="0" w:line="360" w:lineRule="auto"/>
        <w:rPr>
          <w:rFonts w:ascii="宋体" w:hAnsi="宋体" w:eastAsia="宋体" w:cs="宋体"/>
          <w:sz w:val="24"/>
        </w:rPr>
      </w:pPr>
      <w:r>
        <w:rPr>
          <w:rFonts w:hint="eastAsia" w:ascii="宋体" w:hAnsi="宋体" w:eastAsia="宋体" w:cs="宋体"/>
          <w:bCs/>
          <w:sz w:val="24"/>
          <w:lang w:val="en-US" w:eastAsia="zh-CN"/>
        </w:rPr>
        <w:t>10</w:t>
      </w:r>
      <w:r>
        <w:rPr>
          <w:rFonts w:hint="eastAsia" w:ascii="宋体" w:hAnsi="宋体" w:eastAsia="宋体" w:cs="宋体"/>
          <w:bCs/>
          <w:sz w:val="24"/>
        </w:rPr>
        <w:t>.1</w:t>
      </w:r>
      <w:r>
        <w:rPr>
          <w:rFonts w:hint="eastAsia" w:ascii="宋体" w:hAnsi="宋体" w:eastAsia="宋体" w:cs="宋体"/>
          <w:sz w:val="24"/>
        </w:rPr>
        <w:t>投标文件中必须包含以下材料：</w:t>
      </w:r>
    </w:p>
    <w:p>
      <w:pPr>
        <w:widowControl w:val="0"/>
        <w:spacing w:after="0" w:line="360" w:lineRule="auto"/>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.1.1 整个改造系统的详细图纸、图表及文字资料。</w:t>
      </w:r>
    </w:p>
    <w:p>
      <w:pPr>
        <w:widowControl w:val="0"/>
        <w:tabs>
          <w:tab w:val="left" w:pos="735"/>
        </w:tabs>
        <w:spacing w:after="0" w:line="360" w:lineRule="auto"/>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.1.2 投标报价：投标报价必须分项报价，供货、安装分别单列。主要设备报价清单按给定的格式编写，必须要列出生产厂家。</w:t>
      </w:r>
    </w:p>
    <w:tbl>
      <w:tblPr>
        <w:tblStyle w:val="5"/>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1301"/>
        <w:gridCol w:w="1301"/>
        <w:gridCol w:w="770"/>
        <w:gridCol w:w="770"/>
        <w:gridCol w:w="770"/>
        <w:gridCol w:w="770"/>
        <w:gridCol w:w="1300"/>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b/>
                <w:sz w:val="24"/>
                <w:szCs w:val="21"/>
              </w:rPr>
            </w:pPr>
            <w:r>
              <w:rPr>
                <w:rFonts w:hint="eastAsia" w:ascii="宋体" w:hAnsi="宋体" w:eastAsia="宋体" w:cs="宋体"/>
                <w:b/>
                <w:sz w:val="24"/>
                <w:szCs w:val="21"/>
              </w:rPr>
              <w:t>序号</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b/>
                <w:sz w:val="24"/>
                <w:szCs w:val="21"/>
              </w:rPr>
            </w:pPr>
            <w:r>
              <w:rPr>
                <w:rFonts w:hint="eastAsia" w:ascii="宋体" w:hAnsi="宋体" w:eastAsia="宋体" w:cs="宋体"/>
                <w:b/>
                <w:sz w:val="24"/>
                <w:szCs w:val="21"/>
              </w:rPr>
              <w:t>设备名称</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b/>
                <w:sz w:val="24"/>
                <w:szCs w:val="21"/>
              </w:rPr>
            </w:pPr>
            <w:r>
              <w:rPr>
                <w:rFonts w:hint="eastAsia" w:ascii="宋体" w:hAnsi="宋体" w:eastAsia="宋体" w:cs="宋体"/>
                <w:b/>
                <w:sz w:val="24"/>
                <w:szCs w:val="21"/>
              </w:rPr>
              <w:t>规格型号</w:t>
            </w: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b/>
                <w:sz w:val="24"/>
                <w:szCs w:val="21"/>
              </w:rPr>
            </w:pPr>
            <w:r>
              <w:rPr>
                <w:rFonts w:hint="eastAsia" w:ascii="宋体" w:hAnsi="宋体" w:eastAsia="宋体" w:cs="宋体"/>
                <w:b/>
                <w:sz w:val="24"/>
                <w:szCs w:val="21"/>
              </w:rPr>
              <w:t>材质</w:t>
            </w: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b/>
                <w:sz w:val="24"/>
                <w:szCs w:val="21"/>
              </w:rPr>
            </w:pPr>
            <w:r>
              <w:rPr>
                <w:rFonts w:hint="eastAsia" w:ascii="宋体" w:hAnsi="宋体" w:eastAsia="宋体" w:cs="宋体"/>
                <w:b/>
                <w:sz w:val="24"/>
                <w:szCs w:val="21"/>
              </w:rPr>
              <w:t>数量</w:t>
            </w: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b/>
                <w:sz w:val="24"/>
                <w:szCs w:val="21"/>
              </w:rPr>
            </w:pPr>
            <w:r>
              <w:rPr>
                <w:rFonts w:hint="eastAsia" w:ascii="宋体" w:hAnsi="宋体" w:eastAsia="宋体" w:cs="宋体"/>
                <w:b/>
                <w:sz w:val="24"/>
                <w:szCs w:val="21"/>
              </w:rPr>
              <w:t>单价</w:t>
            </w: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b/>
                <w:sz w:val="24"/>
                <w:szCs w:val="21"/>
              </w:rPr>
            </w:pPr>
            <w:r>
              <w:rPr>
                <w:rFonts w:hint="eastAsia" w:ascii="宋体" w:hAnsi="宋体" w:eastAsia="宋体" w:cs="宋体"/>
                <w:b/>
                <w:sz w:val="24"/>
                <w:szCs w:val="21"/>
              </w:rPr>
              <w:t>总价</w:t>
            </w: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b/>
                <w:sz w:val="24"/>
                <w:szCs w:val="21"/>
              </w:rPr>
            </w:pPr>
            <w:r>
              <w:rPr>
                <w:rFonts w:hint="eastAsia" w:ascii="宋体" w:hAnsi="宋体" w:eastAsia="宋体" w:cs="宋体"/>
                <w:b/>
                <w:sz w:val="24"/>
                <w:szCs w:val="21"/>
              </w:rPr>
              <w:t>生产厂家</w:t>
            </w: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b/>
                <w:sz w:val="24"/>
                <w:szCs w:val="21"/>
              </w:rPr>
            </w:pPr>
            <w:r>
              <w:rPr>
                <w:rFonts w:hint="eastAsia" w:ascii="宋体" w:hAnsi="宋体" w:eastAsia="宋体" w:cs="宋体"/>
                <w:b/>
                <w:sz w:val="24"/>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1</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脱硫装置</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脱硫剂仓</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水泵站</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消化装置</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5</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脱硫剂输送管道</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6</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吸收塔</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7</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烟气管道</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eastAsia" w:ascii="宋体" w:hAnsi="宋体" w:eastAsia="宋体" w:cs="宋体"/>
                <w:sz w:val="24"/>
                <w:szCs w:val="21"/>
                <w:lang w:eastAsia="zh-CN"/>
              </w:rPr>
            </w:pPr>
            <w:r>
              <w:rPr>
                <w:rFonts w:hint="eastAsia" w:ascii="宋体" w:hAnsi="宋体" w:eastAsia="宋体" w:cs="宋体"/>
                <w:sz w:val="24"/>
                <w:szCs w:val="21"/>
                <w:lang w:val="en-US" w:eastAsia="zh-CN"/>
              </w:rPr>
              <w:t>8</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除尘器</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9</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除尘风机</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10</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灰仓</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11</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输灰装置</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12</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r>
              <w:rPr>
                <w:rFonts w:hint="eastAsia" w:ascii="宋体" w:hAnsi="宋体" w:eastAsia="宋体" w:cs="宋体"/>
                <w:sz w:val="24"/>
                <w:szCs w:val="21"/>
              </w:rPr>
              <w:t>除尘管道</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val="0"/>
              <w:spacing w:beforeLines="50" w:after="0" w:line="360" w:lineRule="auto"/>
              <w:jc w:val="center"/>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13</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hint="eastAsia" w:ascii="宋体" w:hAnsi="宋体" w:eastAsia="宋体" w:cs="宋体"/>
                <w:sz w:val="24"/>
                <w:szCs w:val="21"/>
                <w:lang w:eastAsia="zh-CN"/>
              </w:rPr>
            </w:pPr>
            <w:r>
              <w:rPr>
                <w:rFonts w:hint="eastAsia" w:ascii="宋体" w:hAnsi="宋体" w:eastAsia="宋体" w:cs="宋体"/>
                <w:sz w:val="24"/>
                <w:szCs w:val="21"/>
                <w:lang w:eastAsia="zh-CN"/>
              </w:rPr>
              <w:t>废灰输送系统</w:t>
            </w:r>
          </w:p>
        </w:tc>
        <w:tc>
          <w:tcPr>
            <w:tcW w:w="1301"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7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1300"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c>
          <w:tcPr>
            <w:tcW w:w="769" w:type="dxa"/>
            <w:tcBorders>
              <w:top w:val="single" w:color="auto" w:sz="4" w:space="0"/>
              <w:left w:val="nil"/>
              <w:bottom w:val="single" w:color="auto" w:sz="4" w:space="0"/>
              <w:right w:val="single" w:color="auto" w:sz="4" w:space="0"/>
            </w:tcBorders>
            <w:vAlign w:val="center"/>
          </w:tcPr>
          <w:p>
            <w:pPr>
              <w:widowControl w:val="0"/>
              <w:spacing w:beforeLines="50" w:after="0" w:line="360" w:lineRule="auto"/>
              <w:jc w:val="center"/>
              <w:rPr>
                <w:rFonts w:ascii="宋体" w:hAnsi="宋体" w:eastAsia="宋体" w:cs="宋体"/>
                <w:sz w:val="24"/>
                <w:szCs w:val="21"/>
              </w:rPr>
            </w:pPr>
          </w:p>
        </w:tc>
      </w:tr>
    </w:tbl>
    <w:p>
      <w:pPr>
        <w:widowControl w:val="0"/>
        <w:tabs>
          <w:tab w:val="left" w:pos="735"/>
        </w:tabs>
        <w:spacing w:beforeLines="50" w:after="0" w:line="360" w:lineRule="auto"/>
        <w:rPr>
          <w:rFonts w:hint="eastAsia" w:ascii="宋体" w:hAnsi="宋体" w:eastAsia="宋体" w:cs="宋体"/>
          <w:b/>
          <w:bCs/>
          <w:sz w:val="24"/>
          <w:szCs w:val="21"/>
          <w:lang w:eastAsia="zh-CN"/>
        </w:rPr>
      </w:pPr>
      <w:r>
        <w:rPr>
          <w:rFonts w:hint="eastAsia" w:ascii="宋体" w:hAnsi="宋体" w:eastAsia="宋体" w:cs="宋体"/>
          <w:b/>
          <w:bCs/>
          <w:sz w:val="24"/>
          <w:szCs w:val="21"/>
        </w:rPr>
        <w:t>说明：上表格式中序号仅为举例，不限此数，按需列出。</w:t>
      </w:r>
      <w:r>
        <w:rPr>
          <w:rFonts w:hint="eastAsia" w:ascii="宋体" w:hAnsi="宋体" w:eastAsia="宋体" w:cs="宋体"/>
          <w:b/>
          <w:bCs/>
          <w:sz w:val="24"/>
          <w:szCs w:val="21"/>
          <w:lang w:eastAsia="zh-CN"/>
        </w:rPr>
        <w:t>供方必须保证系统的完整性。</w:t>
      </w:r>
    </w:p>
    <w:p>
      <w:pPr>
        <w:widowControl w:val="0"/>
        <w:spacing w:after="0" w:line="360" w:lineRule="auto"/>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.1.3工期计划表。</w:t>
      </w:r>
    </w:p>
    <w:p>
      <w:pPr>
        <w:widowControl w:val="0"/>
        <w:spacing w:after="0" w:line="360" w:lineRule="auto"/>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.1.4投标人提供的技术标书，应当包括如下内容：</w:t>
      </w:r>
    </w:p>
    <w:p>
      <w:pPr>
        <w:widowControl w:val="0"/>
        <w:spacing w:after="0" w:line="360" w:lineRule="auto"/>
        <w:rPr>
          <w:rFonts w:ascii="宋体" w:hAnsi="宋体" w:eastAsia="宋体" w:cs="宋体"/>
          <w:sz w:val="24"/>
        </w:rPr>
      </w:pPr>
      <w:r>
        <w:rPr>
          <w:rFonts w:hint="eastAsia" w:ascii="宋体" w:hAnsi="宋体" w:eastAsia="宋体" w:cs="宋体"/>
          <w:sz w:val="24"/>
        </w:rPr>
        <w:t>附件1：技术方案详述，除主要脱硫工艺方案外，还应包括且不限于：</w:t>
      </w:r>
    </w:p>
    <w:p>
      <w:pPr>
        <w:widowControl w:val="0"/>
        <w:spacing w:after="0" w:line="360" w:lineRule="auto"/>
        <w:rPr>
          <w:rFonts w:ascii="宋体" w:hAnsi="宋体" w:eastAsia="宋体" w:cs="Arial"/>
          <w:sz w:val="24"/>
          <w:szCs w:val="20"/>
        </w:rPr>
      </w:pPr>
      <w:r>
        <w:rPr>
          <w:rFonts w:hint="eastAsia" w:ascii="宋体" w:hAnsi="宋体" w:eastAsia="宋体" w:cs="宋体"/>
          <w:sz w:val="24"/>
        </w:rPr>
        <w:t>（1）</w:t>
      </w:r>
      <w:r>
        <w:rPr>
          <w:rFonts w:hint="eastAsia" w:ascii="宋体" w:hAnsi="宋体" w:eastAsia="宋体" w:cs="Arial"/>
          <w:sz w:val="24"/>
          <w:szCs w:val="20"/>
        </w:rPr>
        <w:t>当</w:t>
      </w:r>
      <w:r>
        <w:rPr>
          <w:rFonts w:hint="eastAsia" w:ascii="宋体" w:hAnsi="宋体" w:eastAsia="宋体" w:cs="Arial"/>
          <w:sz w:val="24"/>
          <w:szCs w:val="20"/>
          <w:lang w:eastAsia="zh-CN"/>
        </w:rPr>
        <w:t>放散烟气量变化时</w:t>
      </w:r>
      <w:r>
        <w:rPr>
          <w:rFonts w:hint="eastAsia" w:ascii="宋体" w:hAnsi="宋体" w:eastAsia="宋体" w:cs="Arial"/>
          <w:sz w:val="24"/>
          <w:szCs w:val="20"/>
        </w:rPr>
        <w:t>，脱硫装置能快速响应烟气负荷变化的的对应措施。</w:t>
      </w:r>
    </w:p>
    <w:p>
      <w:pPr>
        <w:widowControl w:val="0"/>
        <w:spacing w:after="0" w:line="360" w:lineRule="auto"/>
        <w:rPr>
          <w:rFonts w:ascii="宋体" w:hAnsi="宋体" w:eastAsia="宋体" w:cs="Arial"/>
          <w:sz w:val="24"/>
          <w:szCs w:val="20"/>
        </w:rPr>
      </w:pPr>
      <w:r>
        <w:rPr>
          <w:rFonts w:hint="eastAsia" w:ascii="宋体" w:hAnsi="宋体" w:eastAsia="宋体" w:cs="Arial"/>
          <w:sz w:val="24"/>
          <w:szCs w:val="20"/>
        </w:rPr>
        <w:t>（2）吸收塔入口和出口处烟气露点温度以及相应计算和控制措施。</w:t>
      </w:r>
    </w:p>
    <w:p>
      <w:pPr>
        <w:widowControl w:val="0"/>
        <w:spacing w:after="0" w:line="360" w:lineRule="auto"/>
        <w:rPr>
          <w:rFonts w:ascii="宋体" w:hAnsi="宋体" w:eastAsia="宋体" w:cs="宋体"/>
          <w:sz w:val="24"/>
        </w:rPr>
      </w:pPr>
      <w:r>
        <w:rPr>
          <w:rFonts w:hint="eastAsia" w:ascii="宋体" w:hAnsi="宋体" w:eastAsia="宋体" w:cs="Arial"/>
          <w:sz w:val="24"/>
          <w:szCs w:val="20"/>
        </w:rPr>
        <w:t>（3）年运行成本，包含脱硫剂、工艺水、压缩空气或氮气、电等能源介质的消耗量和费用，并且需要包含一年的检修费用。</w:t>
      </w:r>
    </w:p>
    <w:p>
      <w:pPr>
        <w:widowControl w:val="0"/>
        <w:spacing w:after="0" w:line="360" w:lineRule="auto"/>
        <w:rPr>
          <w:rFonts w:ascii="宋体" w:hAnsi="宋体" w:eastAsia="宋体" w:cs="Arial"/>
          <w:sz w:val="24"/>
          <w:szCs w:val="20"/>
        </w:rPr>
      </w:pPr>
      <w:r>
        <w:rPr>
          <w:rFonts w:hint="eastAsia" w:ascii="宋体" w:hAnsi="宋体" w:eastAsia="宋体" w:cs="Arial"/>
          <w:sz w:val="24"/>
          <w:szCs w:val="20"/>
        </w:rPr>
        <w:t>（4）脱硫系统引风机突然停用时，脱硫除尘装置对</w:t>
      </w:r>
      <w:r>
        <w:rPr>
          <w:rFonts w:hint="eastAsia" w:ascii="宋体" w:hAnsi="宋体" w:eastAsia="宋体" w:cs="Arial"/>
          <w:sz w:val="24"/>
          <w:szCs w:val="20"/>
          <w:lang w:eastAsia="zh-CN"/>
        </w:rPr>
        <w:t>干熄焦烟气放散</w:t>
      </w:r>
      <w:r>
        <w:rPr>
          <w:rFonts w:hint="eastAsia" w:ascii="宋体" w:hAnsi="宋体" w:eastAsia="宋体" w:cs="Arial"/>
          <w:sz w:val="24"/>
          <w:szCs w:val="20"/>
        </w:rPr>
        <w:t>的影响以及造成塌床的快速处理措施</w:t>
      </w:r>
      <w:r>
        <w:rPr>
          <w:rFonts w:hint="eastAsia" w:ascii="宋体" w:hAnsi="宋体" w:eastAsia="宋体" w:cs="Arial"/>
          <w:sz w:val="24"/>
          <w:szCs w:val="20"/>
          <w:lang w:eastAsia="zh-CN"/>
        </w:rPr>
        <w:t>，</w:t>
      </w:r>
      <w:r>
        <w:rPr>
          <w:rFonts w:hint="eastAsia" w:ascii="宋体" w:hAnsi="宋体" w:eastAsia="宋体" w:cs="Arial"/>
          <w:sz w:val="24"/>
          <w:szCs w:val="20"/>
        </w:rPr>
        <w:t>并说明重新启动需要的时间。</w:t>
      </w:r>
    </w:p>
    <w:p>
      <w:pPr>
        <w:widowControl w:val="0"/>
        <w:spacing w:after="0" w:line="360" w:lineRule="auto"/>
        <w:rPr>
          <w:rFonts w:ascii="宋体" w:hAnsi="宋体" w:eastAsia="宋体" w:cs="Arial"/>
          <w:sz w:val="24"/>
          <w:szCs w:val="20"/>
        </w:rPr>
      </w:pPr>
      <w:r>
        <w:rPr>
          <w:rFonts w:hint="eastAsia" w:ascii="宋体" w:hAnsi="宋体" w:eastAsia="宋体" w:cs="Arial"/>
          <w:sz w:val="24"/>
          <w:szCs w:val="20"/>
        </w:rPr>
        <w:t>（5）脱硫灰的物理化学性质和成份，提出综合利用途径和使用情况。投标书中应提出综合利用途径和使用情况专题报告。</w:t>
      </w:r>
    </w:p>
    <w:p>
      <w:pPr>
        <w:widowControl w:val="0"/>
        <w:spacing w:after="0" w:line="360" w:lineRule="auto"/>
        <w:rPr>
          <w:rFonts w:ascii="宋体" w:hAnsi="宋体" w:eastAsia="宋体" w:cs="Arial"/>
          <w:sz w:val="24"/>
          <w:szCs w:val="20"/>
        </w:rPr>
      </w:pPr>
      <w:r>
        <w:rPr>
          <w:rFonts w:hint="eastAsia" w:ascii="宋体" w:hAnsi="宋体" w:eastAsia="宋体" w:cs="Arial"/>
          <w:sz w:val="24"/>
          <w:szCs w:val="20"/>
        </w:rPr>
        <w:t>（6）污、废水达标排放的治理措施</w:t>
      </w:r>
    </w:p>
    <w:p>
      <w:pPr>
        <w:widowControl w:val="0"/>
        <w:spacing w:after="0" w:line="360" w:lineRule="auto"/>
        <w:rPr>
          <w:rFonts w:ascii="宋体" w:hAnsi="宋体" w:eastAsia="宋体" w:cs="宋体"/>
          <w:sz w:val="24"/>
        </w:rPr>
      </w:pPr>
      <w:r>
        <w:rPr>
          <w:rFonts w:hint="eastAsia" w:ascii="宋体" w:hAnsi="宋体" w:eastAsia="宋体" w:cs="Arial"/>
          <w:sz w:val="24"/>
          <w:szCs w:val="20"/>
        </w:rPr>
        <w:t>（7）</w:t>
      </w:r>
      <w:r>
        <w:rPr>
          <w:rFonts w:hint="eastAsia" w:ascii="宋体" w:hAnsi="宋体" w:eastAsia="宋体"/>
          <w:bCs/>
          <w:sz w:val="24"/>
        </w:rPr>
        <w:t>烟气停留反应时间（单位：秒）、吸收塔的净高度。</w:t>
      </w:r>
    </w:p>
    <w:p>
      <w:pPr>
        <w:widowControl w:val="0"/>
        <w:spacing w:after="0" w:line="360" w:lineRule="auto"/>
        <w:rPr>
          <w:rFonts w:ascii="宋体" w:hAnsi="宋体" w:eastAsia="宋体"/>
          <w:bCs/>
          <w:sz w:val="24"/>
        </w:rPr>
      </w:pPr>
      <w:r>
        <w:rPr>
          <w:rFonts w:hint="eastAsia" w:ascii="宋体" w:hAnsi="宋体" w:eastAsia="宋体" w:cs="宋体"/>
          <w:sz w:val="24"/>
        </w:rPr>
        <w:t>（8）</w:t>
      </w:r>
      <w:r>
        <w:rPr>
          <w:rFonts w:hint="eastAsia" w:ascii="宋体" w:hAnsi="宋体" w:eastAsia="宋体"/>
          <w:bCs/>
          <w:sz w:val="24"/>
        </w:rPr>
        <w:t>吸收塔（包括配套的辅助设施、仪表、控制）的整体设计及工作原理。</w:t>
      </w:r>
    </w:p>
    <w:p>
      <w:pPr>
        <w:widowControl w:val="0"/>
        <w:spacing w:after="0" w:line="360" w:lineRule="auto"/>
        <w:rPr>
          <w:rFonts w:ascii="宋体" w:hAnsi="宋体" w:eastAsia="宋体" w:cs="宋体"/>
          <w:sz w:val="24"/>
        </w:rPr>
      </w:pPr>
      <w:r>
        <w:rPr>
          <w:rFonts w:hint="eastAsia" w:ascii="宋体" w:hAnsi="宋体" w:eastAsia="宋体" w:cs="宋体"/>
          <w:sz w:val="24"/>
        </w:rPr>
        <w:t>（9）</w:t>
      </w:r>
      <w:r>
        <w:rPr>
          <w:rFonts w:hint="eastAsia" w:ascii="宋体" w:hAnsi="宋体" w:eastAsia="宋体"/>
          <w:bCs/>
          <w:sz w:val="24"/>
        </w:rPr>
        <w:t>除尘滤袋选择材质及相关参数。</w:t>
      </w:r>
    </w:p>
    <w:p>
      <w:pPr>
        <w:widowControl w:val="0"/>
        <w:spacing w:after="0" w:line="360" w:lineRule="auto"/>
        <w:rPr>
          <w:rFonts w:ascii="宋体" w:hAnsi="宋体" w:eastAsia="宋体" w:cs="宋体"/>
          <w:sz w:val="24"/>
        </w:rPr>
      </w:pPr>
      <w:r>
        <w:rPr>
          <w:rFonts w:hint="eastAsia" w:ascii="宋体" w:hAnsi="宋体" w:eastAsia="宋体" w:cs="宋体"/>
          <w:sz w:val="24"/>
        </w:rPr>
        <w:t>（10）</w:t>
      </w:r>
      <w:r>
        <w:rPr>
          <w:rFonts w:hint="eastAsia" w:ascii="宋体" w:hAnsi="宋体" w:eastAsia="宋体"/>
          <w:bCs/>
          <w:sz w:val="24"/>
        </w:rPr>
        <w:t>除尘器设计配置的详细说明。</w:t>
      </w:r>
    </w:p>
    <w:p>
      <w:pPr>
        <w:widowControl w:val="0"/>
        <w:spacing w:after="0" w:line="360" w:lineRule="auto"/>
        <w:rPr>
          <w:rFonts w:ascii="宋体" w:hAnsi="宋体" w:eastAsia="宋体" w:cs="宋体"/>
          <w:sz w:val="24"/>
        </w:rPr>
      </w:pPr>
      <w:r>
        <w:rPr>
          <w:rFonts w:hint="eastAsia" w:ascii="宋体" w:hAnsi="宋体" w:eastAsia="宋体" w:cs="宋体"/>
          <w:sz w:val="24"/>
        </w:rPr>
        <w:t>（11）脱硫灰的物理化学性质和成份、综合利用途径和使用情况。</w:t>
      </w:r>
    </w:p>
    <w:p>
      <w:pPr>
        <w:widowControl w:val="0"/>
        <w:spacing w:after="0" w:line="360" w:lineRule="auto"/>
        <w:rPr>
          <w:rFonts w:ascii="宋体" w:hAnsi="宋体" w:eastAsia="宋体" w:cs="宋体"/>
          <w:sz w:val="24"/>
        </w:rPr>
      </w:pPr>
      <w:r>
        <w:rPr>
          <w:rFonts w:hint="eastAsia" w:ascii="宋体" w:hAnsi="宋体" w:eastAsia="宋体" w:cs="宋体"/>
          <w:sz w:val="24"/>
        </w:rPr>
        <w:t>（12）</w:t>
      </w:r>
      <w:r>
        <w:rPr>
          <w:rFonts w:hint="eastAsia" w:ascii="宋体" w:hAnsi="Arial" w:eastAsia="宋体" w:cs="宋体"/>
          <w:bCs/>
          <w:sz w:val="24"/>
        </w:rPr>
        <w:t>系统流程图除了应详细表示其范围内的设备及系统流程外，还应有明确的标示表明与招标方的接口。</w:t>
      </w:r>
    </w:p>
    <w:p>
      <w:pPr>
        <w:widowControl w:val="0"/>
        <w:spacing w:after="0" w:line="360" w:lineRule="auto"/>
        <w:jc w:val="both"/>
        <w:rPr>
          <w:rFonts w:ascii="宋体" w:hAnsi="Arial" w:eastAsia="宋体" w:cs="宋体"/>
          <w:bCs/>
          <w:sz w:val="24"/>
        </w:rPr>
      </w:pPr>
      <w:r>
        <w:rPr>
          <w:rFonts w:hint="eastAsia" w:ascii="宋体" w:hAnsi="宋体" w:eastAsia="宋体" w:cs="宋体"/>
          <w:sz w:val="24"/>
        </w:rPr>
        <w:t>（13）异常工况下</w:t>
      </w:r>
      <w:r>
        <w:rPr>
          <w:rFonts w:hint="eastAsia" w:ascii="宋体" w:hAnsi="Arial" w:eastAsia="宋体" w:cs="宋体"/>
          <w:bCs/>
          <w:sz w:val="24"/>
        </w:rPr>
        <w:t>除尘器的保护措施。</w:t>
      </w:r>
      <w:r>
        <w:rPr>
          <w:rFonts w:hint="eastAsia" w:ascii="宋体" w:hAnsi="Arial" w:eastAsia="宋体" w:cs="宋体"/>
          <w:bCs/>
          <w:sz w:val="24"/>
          <w:lang w:val="en-US" w:eastAsia="zh-CN"/>
        </w:rPr>
        <w:t xml:space="preserve"> </w:t>
      </w:r>
    </w:p>
    <w:p>
      <w:pPr>
        <w:widowControl w:val="0"/>
        <w:spacing w:after="0" w:line="360" w:lineRule="auto"/>
        <w:rPr>
          <w:rFonts w:ascii="宋体" w:hAnsi="宋体" w:eastAsia="宋体" w:cs="宋体"/>
          <w:sz w:val="24"/>
        </w:rPr>
      </w:pPr>
      <w:r>
        <w:rPr>
          <w:rFonts w:hint="eastAsia" w:ascii="宋体" w:hAnsi="宋体" w:eastAsia="宋体" w:cs="宋体"/>
          <w:sz w:val="24"/>
        </w:rPr>
        <w:t>附件2：主要设备配置、供货范围及设计、设备分交表</w:t>
      </w:r>
    </w:p>
    <w:p>
      <w:pPr>
        <w:widowControl w:val="0"/>
        <w:spacing w:after="0" w:line="360" w:lineRule="auto"/>
        <w:rPr>
          <w:rFonts w:ascii="宋体" w:hAnsi="宋体" w:eastAsia="宋体" w:cs="宋体"/>
          <w:sz w:val="24"/>
        </w:rPr>
      </w:pPr>
      <w:r>
        <w:rPr>
          <w:rFonts w:hint="eastAsia" w:ascii="宋体" w:hAnsi="宋体" w:eastAsia="宋体" w:cs="宋体"/>
          <w:sz w:val="24"/>
        </w:rPr>
        <w:t>附件3：技术资料及其交付进度</w:t>
      </w:r>
    </w:p>
    <w:p>
      <w:pPr>
        <w:widowControl w:val="0"/>
        <w:spacing w:after="0" w:line="360" w:lineRule="auto"/>
        <w:rPr>
          <w:rFonts w:ascii="宋体" w:hAnsi="宋体" w:eastAsia="宋体" w:cs="宋体"/>
          <w:sz w:val="24"/>
        </w:rPr>
      </w:pPr>
      <w:r>
        <w:rPr>
          <w:rFonts w:hint="eastAsia" w:ascii="宋体" w:hAnsi="宋体" w:eastAsia="宋体" w:cs="宋体"/>
          <w:sz w:val="24"/>
        </w:rPr>
        <w:t>附件4：施工技术及实施方案</w:t>
      </w:r>
    </w:p>
    <w:p>
      <w:pPr>
        <w:widowControl w:val="0"/>
        <w:spacing w:after="0" w:line="360" w:lineRule="auto"/>
        <w:rPr>
          <w:rFonts w:ascii="宋体" w:hAnsi="宋体" w:eastAsia="宋体" w:cs="宋体"/>
          <w:sz w:val="24"/>
        </w:rPr>
      </w:pPr>
      <w:r>
        <w:rPr>
          <w:rFonts w:hint="eastAsia" w:ascii="宋体" w:hAnsi="宋体" w:eastAsia="宋体" w:cs="宋体"/>
          <w:sz w:val="24"/>
        </w:rPr>
        <w:t>附件5：人员培训</w:t>
      </w:r>
    </w:p>
    <w:p>
      <w:pPr>
        <w:widowControl w:val="0"/>
        <w:spacing w:after="0" w:line="360" w:lineRule="auto"/>
        <w:rPr>
          <w:rFonts w:ascii="宋体" w:hAnsi="宋体" w:eastAsia="宋体" w:cs="宋体"/>
          <w:sz w:val="24"/>
        </w:rPr>
      </w:pPr>
      <w:r>
        <w:rPr>
          <w:rFonts w:hint="eastAsia" w:ascii="宋体" w:hAnsi="宋体" w:eastAsia="宋体" w:cs="宋体"/>
          <w:sz w:val="24"/>
        </w:rPr>
        <w:t>附件6：技术服务</w:t>
      </w:r>
    </w:p>
    <w:p>
      <w:pPr>
        <w:widowControl w:val="0"/>
        <w:spacing w:after="0" w:line="360" w:lineRule="auto"/>
        <w:rPr>
          <w:rFonts w:ascii="宋体" w:hAnsi="宋体" w:eastAsia="宋体" w:cs="宋体"/>
          <w:sz w:val="24"/>
        </w:rPr>
      </w:pPr>
      <w:r>
        <w:rPr>
          <w:rFonts w:hint="eastAsia" w:ascii="宋体" w:hAnsi="宋体" w:eastAsia="宋体" w:cs="宋体"/>
          <w:sz w:val="24"/>
        </w:rPr>
        <w:t>附件7；保证值和考核办法</w:t>
      </w:r>
    </w:p>
    <w:p>
      <w:pPr>
        <w:widowControl w:val="0"/>
        <w:spacing w:after="0" w:line="360" w:lineRule="auto"/>
        <w:rPr>
          <w:rFonts w:ascii="宋体" w:hAnsi="宋体" w:eastAsia="宋体" w:cs="宋体"/>
          <w:sz w:val="24"/>
        </w:rPr>
      </w:pPr>
      <w:r>
        <w:rPr>
          <w:rFonts w:hint="eastAsia" w:ascii="宋体" w:hAnsi="宋体" w:eastAsia="宋体" w:cs="宋体"/>
          <w:sz w:val="24"/>
        </w:rPr>
        <w:t>附件8：平立面工艺布置图及其他附图</w:t>
      </w:r>
    </w:p>
    <w:p>
      <w:pPr>
        <w:widowControl w:val="0"/>
        <w:spacing w:after="0" w:line="360" w:lineRule="auto"/>
        <w:rPr>
          <w:rFonts w:ascii="宋体" w:hAnsi="宋体" w:eastAsia="宋体" w:cs="宋体"/>
          <w:sz w:val="24"/>
        </w:rPr>
      </w:pPr>
      <w:r>
        <w:rPr>
          <w:rFonts w:hint="eastAsia" w:ascii="宋体" w:hAnsi="宋体" w:eastAsia="宋体" w:cs="宋体"/>
          <w:sz w:val="24"/>
        </w:rPr>
        <w:t>附件9：专利及技术诀窍等</w:t>
      </w:r>
    </w:p>
    <w:p>
      <w:pPr>
        <w:widowControl w:val="0"/>
        <w:spacing w:after="0" w:line="360" w:lineRule="auto"/>
        <w:rPr>
          <w:rFonts w:ascii="宋体" w:hAnsi="宋体" w:eastAsia="宋体" w:cs="宋体"/>
          <w:sz w:val="24"/>
        </w:rPr>
      </w:pPr>
      <w:r>
        <w:rPr>
          <w:rFonts w:hint="eastAsia" w:ascii="宋体" w:hAnsi="宋体" w:eastAsia="宋体" w:cs="宋体"/>
          <w:sz w:val="24"/>
        </w:rPr>
        <w:t>附件10：设备制造标准及出厂前检验</w:t>
      </w:r>
    </w:p>
    <w:p>
      <w:pPr>
        <w:widowControl w:val="0"/>
        <w:spacing w:after="0" w:line="360" w:lineRule="auto"/>
        <w:rPr>
          <w:rFonts w:ascii="宋体" w:hAnsi="宋体" w:eastAsia="宋体" w:cs="宋体"/>
          <w:sz w:val="24"/>
        </w:rPr>
      </w:pPr>
      <w:r>
        <w:rPr>
          <w:rFonts w:hint="eastAsia" w:ascii="宋体" w:hAnsi="宋体" w:eastAsia="宋体" w:cs="宋体"/>
          <w:sz w:val="24"/>
        </w:rPr>
        <w:t>附件11：备件及消耗件清单</w:t>
      </w:r>
    </w:p>
    <w:p>
      <w:pPr>
        <w:widowControl w:val="0"/>
        <w:spacing w:after="0" w:line="360" w:lineRule="auto"/>
        <w:rPr>
          <w:rFonts w:ascii="宋体" w:hAnsi="宋体" w:eastAsia="宋体" w:cs="宋体"/>
          <w:sz w:val="24"/>
        </w:rPr>
      </w:pPr>
      <w:r>
        <w:rPr>
          <w:rFonts w:hint="eastAsia" w:ascii="宋体" w:hAnsi="宋体" w:eastAsia="宋体" w:cs="宋体"/>
          <w:sz w:val="24"/>
        </w:rPr>
        <w:t>附件12：子供货商明细表</w:t>
      </w:r>
    </w:p>
    <w:p>
      <w:pPr>
        <w:widowControl w:val="0"/>
        <w:spacing w:after="0" w:line="360" w:lineRule="auto"/>
        <w:rPr>
          <w:rFonts w:ascii="宋体" w:hAnsi="宋体" w:eastAsia="宋体" w:cs="宋体"/>
          <w:sz w:val="24"/>
        </w:rPr>
      </w:pPr>
      <w:r>
        <w:rPr>
          <w:rFonts w:hint="eastAsia" w:ascii="宋体" w:hAnsi="宋体" w:eastAsia="宋体" w:cs="宋体"/>
          <w:sz w:val="24"/>
        </w:rPr>
        <w:t>附件13：设备交货及建设进度</w:t>
      </w:r>
    </w:p>
    <w:p>
      <w:pPr>
        <w:widowControl w:val="0"/>
        <w:spacing w:after="0" w:line="360" w:lineRule="auto"/>
        <w:rPr>
          <w:rFonts w:ascii="宋体" w:hAnsi="宋体" w:eastAsia="宋体" w:cs="宋体"/>
          <w:sz w:val="24"/>
        </w:rPr>
      </w:pPr>
      <w:r>
        <w:rPr>
          <w:rFonts w:hint="eastAsia" w:ascii="宋体" w:hAnsi="宋体" w:eastAsia="宋体" w:cs="宋体"/>
          <w:sz w:val="24"/>
        </w:rPr>
        <w:t>附件14：资质及业绩表，包括：</w:t>
      </w:r>
    </w:p>
    <w:p>
      <w:pPr>
        <w:widowControl w:val="0"/>
        <w:spacing w:after="0" w:line="360" w:lineRule="auto"/>
        <w:rPr>
          <w:rFonts w:ascii="宋体" w:hAnsi="宋体" w:eastAsia="宋体" w:cs="宋体"/>
          <w:sz w:val="24"/>
        </w:rPr>
      </w:pPr>
      <w:r>
        <w:rPr>
          <w:rFonts w:hint="eastAsia" w:ascii="宋体" w:hAnsi="宋体" w:eastAsia="宋体" w:cs="宋体"/>
          <w:sz w:val="24"/>
        </w:rPr>
        <w:t>（1）设计资质</w:t>
      </w:r>
    </w:p>
    <w:p>
      <w:pPr>
        <w:widowControl w:val="0"/>
        <w:spacing w:after="0" w:line="360" w:lineRule="auto"/>
        <w:rPr>
          <w:rFonts w:ascii="宋体" w:hAnsi="宋体" w:eastAsia="宋体" w:cs="宋体"/>
          <w:sz w:val="24"/>
        </w:rPr>
      </w:pPr>
      <w:r>
        <w:rPr>
          <w:rFonts w:hint="eastAsia" w:ascii="宋体" w:hAnsi="宋体" w:eastAsia="宋体" w:cs="宋体"/>
          <w:sz w:val="24"/>
        </w:rPr>
        <w:t>（2）施工资质</w:t>
      </w:r>
    </w:p>
    <w:p>
      <w:pPr>
        <w:widowControl w:val="0"/>
        <w:spacing w:after="0" w:line="360" w:lineRule="auto"/>
        <w:rPr>
          <w:rFonts w:ascii="宋体" w:hAnsi="宋体" w:eastAsia="宋体" w:cs="宋体"/>
          <w:sz w:val="24"/>
        </w:rPr>
      </w:pPr>
      <w:r>
        <w:rPr>
          <w:rFonts w:hint="eastAsia" w:ascii="宋体" w:hAnsi="宋体" w:eastAsia="宋体" w:cs="宋体"/>
          <w:sz w:val="24"/>
        </w:rPr>
        <w:t>（3）近三年的半干法脱硫工艺用于</w:t>
      </w:r>
      <w:r>
        <w:rPr>
          <w:rFonts w:hint="eastAsia" w:ascii="宋体" w:hAnsi="宋体" w:eastAsia="宋体" w:cs="宋体"/>
          <w:sz w:val="24"/>
          <w:lang w:eastAsia="zh-CN"/>
        </w:rPr>
        <w:t>干熄焦放散</w:t>
      </w:r>
      <w:r>
        <w:rPr>
          <w:rFonts w:hint="eastAsia" w:ascii="宋体" w:hAnsi="宋体" w:eastAsia="宋体" w:cs="宋体"/>
          <w:sz w:val="24"/>
        </w:rPr>
        <w:t>废气处理领域的业绩，不少于</w:t>
      </w:r>
      <w:r>
        <w:rPr>
          <w:rFonts w:hint="eastAsia" w:ascii="宋体" w:hAnsi="宋体" w:eastAsia="宋体" w:cs="宋体"/>
          <w:sz w:val="24"/>
          <w:lang w:val="en-US" w:eastAsia="zh-CN"/>
        </w:rPr>
        <w:t>2</w:t>
      </w:r>
      <w:r>
        <w:rPr>
          <w:rFonts w:hint="eastAsia" w:ascii="宋体" w:hAnsi="宋体" w:eastAsia="宋体" w:cs="宋体"/>
          <w:sz w:val="24"/>
        </w:rPr>
        <w:t>套。</w:t>
      </w:r>
    </w:p>
    <w:p>
      <w:pPr>
        <w:widowControl w:val="0"/>
        <w:spacing w:after="0" w:line="360" w:lineRule="auto"/>
        <w:rPr>
          <w:rFonts w:ascii="宋体" w:hAnsi="宋体" w:eastAsia="宋体" w:cs="宋体"/>
          <w:b/>
          <w:bCs/>
          <w:sz w:val="24"/>
          <w:szCs w:val="24"/>
        </w:rPr>
      </w:pPr>
      <w:r>
        <w:rPr>
          <w:rFonts w:hint="eastAsia" w:ascii="宋体" w:hAnsi="Arial" w:eastAsia="宋体" w:cs="宋体"/>
          <w:b/>
          <w:bCs/>
          <w:sz w:val="24"/>
          <w:lang w:eastAsia="zh-CN"/>
        </w:rPr>
        <w:t>十一</w:t>
      </w:r>
      <w:r>
        <w:rPr>
          <w:rFonts w:hint="eastAsia" w:ascii="宋体" w:hAnsi="Arial" w:eastAsia="宋体" w:cs="宋体"/>
          <w:b/>
          <w:bCs/>
          <w:sz w:val="24"/>
        </w:rPr>
        <w:t>、</w:t>
      </w:r>
      <w:r>
        <w:rPr>
          <w:rFonts w:hint="eastAsia" w:ascii="宋体" w:hAnsi="宋体" w:eastAsia="宋体" w:cs="宋体"/>
          <w:b/>
          <w:bCs/>
          <w:sz w:val="24"/>
          <w:szCs w:val="24"/>
        </w:rPr>
        <w:t>建安工程要求</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.1 建安合同付款：承包人向工程师提交已完工程量报告的时间：承包人每月20日前向发包人代表提交已完工程量报告，发包人代表收到报告后5日内审核完毕。</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.2 双方约定的工程款（进度款）支付的方式：</w:t>
      </w:r>
      <w:r>
        <w:rPr>
          <w:rFonts w:hint="eastAsia" w:ascii="宋体" w:hAnsi="宋体" w:eastAsia="宋体" w:cs="宋体"/>
          <w:bCs/>
          <w:sz w:val="24"/>
          <w:szCs w:val="24"/>
          <w:highlight w:val="none"/>
          <w:lang w:eastAsia="zh-CN"/>
        </w:rPr>
        <w:t>建安</w:t>
      </w:r>
      <w:r>
        <w:rPr>
          <w:rFonts w:hint="eastAsia" w:ascii="宋体" w:hAnsi="宋体" w:eastAsia="宋体" w:cs="宋体"/>
          <w:sz w:val="24"/>
          <w:szCs w:val="24"/>
          <w:highlight w:val="none"/>
        </w:rPr>
        <w:t>合同价在 30 万以下的，原则上无进度款，工程完工后付至合同价的70%</w:t>
      </w:r>
      <w:r>
        <w:rPr>
          <w:rFonts w:hint="eastAsia" w:ascii="宋体" w:hAnsi="宋体" w:eastAsia="宋体" w:cs="宋体"/>
          <w:bCs/>
          <w:sz w:val="24"/>
          <w:szCs w:val="24"/>
          <w:highlight w:val="none"/>
        </w:rPr>
        <w:t>，付款前提供等额增值税专用发票</w:t>
      </w:r>
      <w:r>
        <w:rPr>
          <w:rFonts w:hint="eastAsia" w:ascii="宋体" w:hAnsi="宋体" w:eastAsia="宋体" w:cs="宋体"/>
          <w:sz w:val="24"/>
          <w:szCs w:val="24"/>
          <w:highlight w:val="none"/>
        </w:rPr>
        <w:t>。</w:t>
      </w:r>
      <w:r>
        <w:rPr>
          <w:rFonts w:hint="eastAsia" w:ascii="宋体" w:hAnsi="宋体" w:eastAsia="宋体" w:cs="宋体"/>
          <w:bCs/>
          <w:sz w:val="24"/>
          <w:szCs w:val="24"/>
          <w:highlight w:val="none"/>
          <w:lang w:eastAsia="zh-CN"/>
        </w:rPr>
        <w:t>建安</w:t>
      </w:r>
      <w:r>
        <w:rPr>
          <w:rFonts w:hint="eastAsia" w:ascii="宋体" w:hAnsi="宋体" w:eastAsia="宋体" w:cs="宋体"/>
          <w:sz w:val="24"/>
          <w:szCs w:val="24"/>
          <w:highlight w:val="none"/>
        </w:rPr>
        <w:t>合同价在30万以上的，</w:t>
      </w:r>
      <w:r>
        <w:rPr>
          <w:rFonts w:hint="eastAsia" w:ascii="宋体" w:hAnsi="宋体" w:eastAsia="宋体" w:cs="宋体"/>
          <w:bCs/>
          <w:sz w:val="24"/>
          <w:szCs w:val="24"/>
          <w:highlight w:val="none"/>
        </w:rPr>
        <w:t>发包人次月按审定的上月进度的70</w:t>
      </w:r>
      <w:r>
        <w:rPr>
          <w:rFonts w:hint="eastAsia" w:ascii="宋体" w:hAnsi="宋体" w:eastAsia="宋体" w:cs="宋体"/>
          <w:bCs/>
          <w:sz w:val="24"/>
          <w:szCs w:val="24"/>
        </w:rPr>
        <w:t>%支付承包人工程款，付款前提供等额增值税专用发票。工程竣工验收合格、结算审核后付至审核价的97%，留3%为质保金，质保金返还按保修规定。承包人应于发包人支付全部或部分工程款项前向发包人开具增值税专用发票，工程款以6个月银行承兑汇票支付。</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.3 结算审核后承包人及时向发包人开具全额增值税专用发票。</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.4 建安合同考核：本工程的节点工期，另行确定后，作为合同的考核工期。因承包人原因，节点工期每延误1天，承包人向发包人支付违约金壹仟圆整</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：2000元整）。竣工工期每延误1天，承包人向发包人支付违约金贰仟圆整（</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rPr>
        <w:t>：5000元整）。因承包人原因，工期延误7天以上或施工质量达不到要求，发包人有权终止合同，另行选择施工队伍。</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.5 若中标方达不到合同中规定的合格标准，按不合格工程量造价的1.2倍向招标方支付违约金，同时中标方必须无条件返工直至合格。</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.6 本项目建安工程合同最终结算发票是9%增值税专用发票。</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.7 施工期间中标人的项目经理在现场时间无特殊情况原则上不少于5个工作日/星期，工作期间离开现场须经发包人代表书面同意。如发现缺岗1天，中标方支付违约金500元。</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.8 招标方在指定位置提供施工电源及水源，之外部分中标人自行承担，现场施工水电费结算时按建安合同总价的７‰扣除。</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.9 中标人需缴纳安全保障金及施工履约保证金60万元整（长期合作单位，需出具承包人已经办理过的证明材料），通过基本账户现汇办理，待承包人承建的所有工程竣工后由承包人提出申请，工程部核实后保证金无息退还给承包人。</w:t>
      </w:r>
    </w:p>
    <w:p>
      <w:pPr>
        <w:widowControl w:val="0"/>
        <w:spacing w:after="0" w:line="360" w:lineRule="auto"/>
        <w:ind w:firstLine="480" w:firstLineChars="200"/>
        <w:rPr>
          <w:rFonts w:ascii="宋体" w:hAnsi="宋体" w:eastAsia="宋体" w:cs="宋体"/>
          <w:b/>
          <w:bCs/>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10招标方、中标方须密切配合、相互协商，以使现场施工达到招标人安全管理和现场文明施工要求，接受招标方6S管理，达不到要求的按招标方有关管理办法考核；中标方无条件配合招标方有关安全、消防验收和现场整治、来人参观的临时性安排（须提前通知），如满足不了招标方有关要求，招标方有权临时组织人员处理，其费用按400元/工日计算，从中标方工程款中扣除。</w:t>
      </w:r>
    </w:p>
    <w:p>
      <w:pPr>
        <w:widowControl w:val="0"/>
        <w:spacing w:after="0" w:line="360" w:lineRule="auto"/>
        <w:rPr>
          <w:rFonts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二</w:t>
      </w:r>
      <w:r>
        <w:rPr>
          <w:rFonts w:hint="eastAsia" w:ascii="宋体" w:hAnsi="宋体" w:eastAsia="宋体" w:cs="宋体"/>
          <w:b/>
          <w:bCs/>
          <w:sz w:val="24"/>
          <w:szCs w:val="24"/>
        </w:rPr>
        <w:t>、对投标方资质要求</w:t>
      </w:r>
    </w:p>
    <w:p>
      <w:pPr>
        <w:widowControl w:val="0"/>
        <w:spacing w:after="0" w:line="360" w:lineRule="auto"/>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.1 对投标方要求</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2</w:t>
      </w:r>
      <w:r>
        <w:rPr>
          <w:rFonts w:hint="eastAsia" w:ascii="宋体" w:hAnsi="宋体" w:eastAsia="宋体" w:cs="宋体"/>
          <w:bCs/>
          <w:sz w:val="24"/>
          <w:szCs w:val="24"/>
        </w:rPr>
        <w:t>.1.1 在中华人民共和国工商管理部门注册，且具有中华人民共和国独立法人资格，且具有履行合同和履行民事责任的能力，营业执照处于有效期。</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2</w:t>
      </w:r>
      <w:r>
        <w:rPr>
          <w:rFonts w:hint="eastAsia" w:ascii="宋体" w:hAnsi="宋体" w:eastAsia="宋体" w:cs="宋体"/>
          <w:bCs/>
          <w:sz w:val="24"/>
          <w:szCs w:val="24"/>
        </w:rPr>
        <w:t>.1.2 投标方具备资质满足以下要求：</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（1）设计资质：</w:t>
      </w:r>
      <w:r>
        <w:rPr>
          <w:rFonts w:hint="eastAsia" w:ascii="宋体" w:hAnsi="宋体" w:eastAsia="宋体"/>
          <w:sz w:val="24"/>
          <w:szCs w:val="24"/>
        </w:rPr>
        <w:t>环保工程（大气污染防治工程）专项</w:t>
      </w:r>
      <w:r>
        <w:rPr>
          <w:rFonts w:hint="eastAsia" w:ascii="宋体" w:hAnsi="宋体" w:eastAsia="宋体"/>
          <w:sz w:val="24"/>
          <w:szCs w:val="24"/>
          <w:highlight w:val="none"/>
          <w:lang w:eastAsia="zh-CN"/>
        </w:rPr>
        <w:t>乙</w:t>
      </w:r>
      <w:r>
        <w:rPr>
          <w:rFonts w:hint="eastAsia" w:ascii="宋体" w:hAnsi="宋体" w:eastAsia="宋体"/>
          <w:sz w:val="24"/>
          <w:szCs w:val="24"/>
          <w:highlight w:val="none"/>
        </w:rPr>
        <w:t>级</w:t>
      </w:r>
      <w:r>
        <w:rPr>
          <w:rFonts w:hint="eastAsia" w:ascii="宋体" w:hAnsi="宋体" w:eastAsia="宋体"/>
          <w:sz w:val="24"/>
          <w:szCs w:val="24"/>
        </w:rPr>
        <w:t>及以上资质</w:t>
      </w:r>
      <w:r>
        <w:rPr>
          <w:rFonts w:hint="eastAsia" w:ascii="宋体" w:hAnsi="宋体" w:eastAsia="宋体" w:cs="宋体"/>
          <w:bCs/>
          <w:sz w:val="24"/>
          <w:szCs w:val="24"/>
        </w:rPr>
        <w:t>。</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（2）施工资质：</w:t>
      </w:r>
      <w:r>
        <w:rPr>
          <w:rFonts w:hint="eastAsia" w:ascii="宋体" w:hAnsi="宋体" w:eastAsia="宋体" w:cs="宋体"/>
          <w:bCs/>
          <w:sz w:val="24"/>
          <w:szCs w:val="24"/>
          <w:highlight w:val="none"/>
        </w:rPr>
        <w:t>环保工程专业承包</w:t>
      </w:r>
      <w:r>
        <w:rPr>
          <w:rFonts w:hint="eastAsia" w:ascii="宋体" w:hAnsi="宋体" w:eastAsia="宋体" w:cs="宋体"/>
          <w:bCs/>
          <w:sz w:val="24"/>
          <w:szCs w:val="24"/>
          <w:highlight w:val="none"/>
          <w:lang w:eastAsia="zh-CN"/>
        </w:rPr>
        <w:t>三</w:t>
      </w:r>
      <w:r>
        <w:rPr>
          <w:rFonts w:hint="eastAsia" w:ascii="宋体" w:hAnsi="宋体" w:eastAsia="宋体" w:cs="宋体"/>
          <w:bCs/>
          <w:sz w:val="24"/>
          <w:szCs w:val="24"/>
          <w:highlight w:val="none"/>
        </w:rPr>
        <w:t>级</w:t>
      </w:r>
      <w:r>
        <w:rPr>
          <w:rFonts w:hint="eastAsia" w:ascii="宋体" w:hAnsi="宋体" w:eastAsia="宋体" w:cs="宋体"/>
          <w:bCs/>
          <w:sz w:val="24"/>
          <w:szCs w:val="24"/>
        </w:rPr>
        <w:t>及以上资质或机电工程施工总承包三级及以上资质。</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2</w:t>
      </w:r>
      <w:r>
        <w:rPr>
          <w:rFonts w:hint="eastAsia" w:ascii="宋体" w:hAnsi="宋体" w:eastAsia="宋体" w:cs="宋体"/>
          <w:bCs/>
          <w:sz w:val="24"/>
          <w:szCs w:val="24"/>
        </w:rPr>
        <w:t>.1.3 具备承担本项目的资金及资信能力。</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2</w:t>
      </w:r>
      <w:r>
        <w:rPr>
          <w:rFonts w:hint="eastAsia" w:ascii="宋体" w:hAnsi="宋体" w:eastAsia="宋体" w:cs="宋体"/>
          <w:bCs/>
          <w:sz w:val="24"/>
          <w:szCs w:val="24"/>
        </w:rPr>
        <w:t>.1.4 投标方能够按国家规定和招标方要求开具增值税专用发票。</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2</w:t>
      </w:r>
      <w:r>
        <w:rPr>
          <w:rFonts w:hint="eastAsia" w:ascii="宋体" w:hAnsi="宋体" w:eastAsia="宋体" w:cs="宋体"/>
          <w:bCs/>
          <w:sz w:val="24"/>
          <w:szCs w:val="24"/>
        </w:rPr>
        <w:t>.1.5 投标方中标后，不能进行转包。</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2</w:t>
      </w:r>
      <w:r>
        <w:rPr>
          <w:rFonts w:hint="eastAsia" w:ascii="宋体" w:hAnsi="宋体" w:eastAsia="宋体" w:cs="宋体"/>
          <w:bCs/>
          <w:sz w:val="24"/>
          <w:szCs w:val="24"/>
        </w:rPr>
        <w:t>.1.6 接受联合体投标，联合体投标的，应满足下列要求：</w:t>
      </w:r>
      <w:bookmarkStart w:id="8" w:name="_GoBack"/>
      <w:bookmarkEnd w:id="8"/>
      <w:r>
        <w:rPr>
          <w:rFonts w:hint="eastAsia" w:ascii="宋体" w:hAnsi="宋体" w:eastAsia="宋体" w:cs="宋体"/>
          <w:bCs/>
          <w:sz w:val="24"/>
          <w:szCs w:val="24"/>
        </w:rPr>
        <w:t>提供联合体协议，联合体成员必须满足本项目设计或施工相应资质要求。联合体允许最多2家单位联合组成</w:t>
      </w:r>
      <w:r>
        <w:rPr>
          <w:rFonts w:hint="eastAsia" w:ascii="宋体" w:hAnsi="宋体" w:eastAsia="宋体" w:cs="宋体"/>
          <w:bCs/>
          <w:sz w:val="24"/>
          <w:szCs w:val="24"/>
          <w:highlight w:val="none"/>
        </w:rPr>
        <w:t>，并满足上述1</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.1.1至1</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.1.5的资格要求</w:t>
      </w:r>
      <w:r>
        <w:rPr>
          <w:rFonts w:hint="eastAsia" w:ascii="宋体" w:hAnsi="宋体" w:eastAsia="宋体" w:cs="宋体"/>
          <w:bCs/>
          <w:sz w:val="24"/>
          <w:szCs w:val="24"/>
        </w:rPr>
        <w:t>，联合体各成员均要为独立法人资格。</w:t>
      </w:r>
    </w:p>
    <w:p>
      <w:pPr>
        <w:widowControl w:val="0"/>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2</w:t>
      </w:r>
      <w:r>
        <w:rPr>
          <w:rFonts w:hint="eastAsia" w:ascii="宋体" w:hAnsi="宋体" w:eastAsia="宋体" w:cs="宋体"/>
          <w:bCs/>
          <w:sz w:val="24"/>
          <w:szCs w:val="24"/>
        </w:rPr>
        <w:t xml:space="preserve">.1.7 </w:t>
      </w:r>
      <w:r>
        <w:rPr>
          <w:rFonts w:hint="eastAsia" w:ascii="宋体" w:hAnsi="宋体" w:eastAsia="宋体" w:cs="宋体"/>
          <w:bCs/>
          <w:sz w:val="24"/>
          <w:szCs w:val="24"/>
          <w:highlight w:val="none"/>
          <w:lang w:eastAsia="zh-CN"/>
        </w:rPr>
        <w:t>拟派</w:t>
      </w:r>
      <w:r>
        <w:rPr>
          <w:rFonts w:hint="eastAsia" w:ascii="宋体" w:hAnsi="宋体" w:eastAsia="宋体" w:cs="宋体"/>
          <w:bCs/>
          <w:sz w:val="24"/>
          <w:szCs w:val="24"/>
        </w:rPr>
        <w:t>项目经理具有</w:t>
      </w:r>
      <w:r>
        <w:rPr>
          <w:rFonts w:hint="eastAsia" w:ascii="宋体" w:hAnsi="宋体" w:eastAsia="宋体" w:cs="宋体"/>
          <w:bCs/>
          <w:sz w:val="24"/>
          <w:szCs w:val="24"/>
          <w:lang w:eastAsia="zh-CN"/>
        </w:rPr>
        <w:t>机电专业</w:t>
      </w:r>
      <w:r>
        <w:rPr>
          <w:rFonts w:hint="eastAsia" w:ascii="宋体" w:hAnsi="宋体" w:eastAsia="宋体" w:cs="宋体"/>
          <w:bCs/>
          <w:sz w:val="24"/>
          <w:szCs w:val="24"/>
        </w:rPr>
        <w:t>的二级建造师注册人员。</w:t>
      </w:r>
    </w:p>
    <w:p>
      <w:pPr>
        <w:widowControl w:val="0"/>
        <w:spacing w:after="0" w:line="360" w:lineRule="auto"/>
        <w:rPr>
          <w:rFonts w:ascii="宋体" w:hAnsi="宋体" w:eastAsia="宋体"/>
          <w:b/>
          <w:sz w:val="24"/>
        </w:rPr>
      </w:pPr>
      <w:r>
        <w:rPr>
          <w:rFonts w:hint="eastAsia" w:ascii="宋体" w:hAnsi="宋体" w:eastAsia="宋体"/>
          <w:b/>
          <w:sz w:val="24"/>
        </w:rPr>
        <w:t>十二、联系方式</w:t>
      </w:r>
    </w:p>
    <w:p>
      <w:pPr>
        <w:widowControl w:val="0"/>
        <w:tabs>
          <w:tab w:val="left" w:pos="735"/>
        </w:tabs>
        <w:spacing w:after="0" w:line="360" w:lineRule="auto"/>
        <w:ind w:firstLine="480" w:firstLineChars="200"/>
        <w:rPr>
          <w:rFonts w:hint="eastAsia" w:ascii="宋体" w:hAnsi="宋体" w:eastAsia="宋体"/>
          <w:sz w:val="24"/>
          <w:lang w:val="en-US" w:eastAsia="zh-CN"/>
        </w:rPr>
      </w:pPr>
      <w:r>
        <w:rPr>
          <w:rFonts w:hint="eastAsia" w:ascii="宋体" w:hAnsi="宋体" w:eastAsia="宋体"/>
          <w:sz w:val="24"/>
          <w:lang w:eastAsia="zh-CN"/>
        </w:rPr>
        <w:t>焦化</w:t>
      </w:r>
      <w:r>
        <w:rPr>
          <w:rFonts w:hint="eastAsia" w:ascii="宋体" w:hAnsi="宋体" w:eastAsia="宋体"/>
          <w:sz w:val="24"/>
        </w:rPr>
        <w:t>部</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lang w:eastAsia="zh-CN"/>
        </w:rPr>
        <w:t>杨志</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lang w:val="en-US" w:eastAsia="zh-CN"/>
        </w:rPr>
        <w:t xml:space="preserve"> 18010798807</w:t>
      </w:r>
    </w:p>
    <w:p>
      <w:pPr>
        <w:widowControl w:val="0"/>
        <w:tabs>
          <w:tab w:val="left" w:pos="735"/>
        </w:tabs>
        <w:spacing w:after="0" w:line="360" w:lineRule="auto"/>
        <w:ind w:firstLine="480" w:firstLineChars="200"/>
        <w:rPr>
          <w:rFonts w:hint="default" w:ascii="宋体" w:hAnsi="宋体" w:eastAsia="宋体"/>
          <w:sz w:val="24"/>
          <w:lang w:val="en-US" w:eastAsia="zh-CN"/>
        </w:rPr>
      </w:pPr>
      <w:r>
        <w:rPr>
          <w:rFonts w:hint="eastAsia" w:ascii="宋体" w:hAnsi="宋体" w:eastAsia="宋体"/>
          <w:sz w:val="24"/>
        </w:rPr>
        <w:t>设计</w:t>
      </w:r>
      <w:r>
        <w:rPr>
          <w:rFonts w:hint="eastAsia" w:ascii="宋体" w:hAnsi="宋体" w:eastAsia="宋体"/>
          <w:sz w:val="24"/>
          <w:lang w:eastAsia="zh-CN"/>
        </w:rPr>
        <w:t>处</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lang w:val="en-US" w:eastAsia="zh-CN"/>
        </w:rPr>
        <w:t xml:space="preserve">    </w:t>
      </w:r>
      <w:r>
        <w:rPr>
          <w:rFonts w:hint="eastAsia" w:ascii="宋体" w:hAnsi="宋体" w:eastAsia="宋体"/>
          <w:sz w:val="24"/>
          <w:lang w:eastAsia="zh-CN"/>
        </w:rPr>
        <w:t>金美余</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lang w:val="en-US" w:eastAsia="zh-CN"/>
        </w:rPr>
        <w:t xml:space="preserve">    </w:t>
      </w:r>
      <w:r>
        <w:rPr>
          <w:rFonts w:hint="eastAsia" w:ascii="宋体" w:hAnsi="宋体" w:eastAsia="宋体"/>
          <w:sz w:val="24"/>
        </w:rPr>
        <w:t>178553</w:t>
      </w:r>
      <w:r>
        <w:rPr>
          <w:rFonts w:hint="eastAsia" w:ascii="宋体" w:hAnsi="宋体" w:eastAsia="宋体"/>
          <w:sz w:val="24"/>
          <w:lang w:val="en-US" w:eastAsia="zh-CN"/>
        </w:rPr>
        <w:t>53516</w:t>
      </w:r>
    </w:p>
    <w:p>
      <w:pPr>
        <w:widowControl w:val="0"/>
        <w:tabs>
          <w:tab w:val="left" w:pos="735"/>
        </w:tabs>
        <w:spacing w:after="0" w:line="360" w:lineRule="auto"/>
        <w:ind w:firstLine="480" w:firstLineChars="200"/>
        <w:rPr>
          <w:rFonts w:hint="default" w:ascii="宋体" w:hAnsi="宋体" w:eastAsia="宋体"/>
          <w:sz w:val="24"/>
          <w:lang w:val="en-US" w:eastAsia="zh-CN"/>
        </w:rPr>
      </w:pPr>
      <w:r>
        <w:rPr>
          <w:rFonts w:hint="eastAsia" w:ascii="宋体" w:hAnsi="宋体" w:eastAsia="宋体"/>
          <w:sz w:val="24"/>
        </w:rPr>
        <w:t>工程处</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lang w:eastAsia="zh-CN"/>
        </w:rPr>
        <w:t>孙星超</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lang w:val="en-US" w:eastAsia="zh-CN"/>
        </w:rPr>
        <w:t xml:space="preserve"> </w:t>
      </w:r>
      <w:r>
        <w:rPr>
          <w:rFonts w:hint="eastAsia" w:ascii="宋体" w:hAnsi="宋体" w:eastAsia="宋体" w:cs="宋体"/>
          <w:sz w:val="24"/>
          <w:szCs w:val="24"/>
        </w:rPr>
        <w:t>1</w:t>
      </w:r>
      <w:r>
        <w:rPr>
          <w:rFonts w:hint="eastAsia" w:ascii="宋体" w:hAnsi="宋体" w:eastAsia="宋体" w:cs="宋体"/>
          <w:sz w:val="24"/>
          <w:szCs w:val="24"/>
          <w:lang w:val="en-US" w:eastAsia="zh-CN"/>
        </w:rPr>
        <w:t>5385537006</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65574"/>
    <w:rsid w:val="0BE96DC6"/>
    <w:rsid w:val="1B7539A6"/>
    <w:rsid w:val="1D8C2CFC"/>
    <w:rsid w:val="249335CE"/>
    <w:rsid w:val="2EDD678B"/>
    <w:rsid w:val="2FF625ED"/>
    <w:rsid w:val="321A7C46"/>
    <w:rsid w:val="321D0119"/>
    <w:rsid w:val="32B47360"/>
    <w:rsid w:val="37551FEB"/>
    <w:rsid w:val="3BF70E8C"/>
    <w:rsid w:val="3C69674F"/>
    <w:rsid w:val="3E370EAF"/>
    <w:rsid w:val="49447849"/>
    <w:rsid w:val="52CA4F9E"/>
    <w:rsid w:val="63FE5E3F"/>
    <w:rsid w:val="6AF905C6"/>
    <w:rsid w:val="76820F49"/>
    <w:rsid w:val="77C66BA7"/>
    <w:rsid w:val="7AB379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宋体" w:hAnsi="宋体"/>
      <w:snapToGrid w:val="0"/>
      <w:kern w:val="24"/>
      <w:sz w:val="24"/>
      <w:szCs w:val="24"/>
    </w:rPr>
  </w:style>
  <w:style w:type="paragraph" w:styleId="3">
    <w:name w:val="footer"/>
    <w:basedOn w:val="1"/>
    <w:link w:val="7"/>
    <w:qFormat/>
    <w:uiPriority w:val="0"/>
    <w:pPr>
      <w:tabs>
        <w:tab w:val="center" w:pos="4153"/>
        <w:tab w:val="right" w:pos="8306"/>
      </w:tabs>
    </w:pPr>
    <w:rPr>
      <w:rFonts w:ascii="Tahoma" w:hAnsi="Tahoma" w:eastAsia="微软雅黑" w:cs="Times New Roman"/>
      <w:kern w:val="0"/>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rFonts w:ascii="Tahoma" w:hAnsi="Tahoma" w:eastAsia="微软雅黑" w:cs="Times New Roman"/>
      <w:kern w:val="0"/>
      <w:sz w:val="18"/>
      <w:szCs w:val="18"/>
    </w:rPr>
  </w:style>
  <w:style w:type="character" w:customStyle="1" w:styleId="7">
    <w:name w:val="页脚 Char"/>
    <w:basedOn w:val="6"/>
    <w:link w:val="3"/>
    <w:semiHidden/>
    <w:qFormat/>
    <w:uiPriority w:val="0"/>
    <w:rPr>
      <w:rFonts w:ascii="Tahoma" w:hAnsi="Tahoma" w:eastAsia="微软雅黑" w:cs="Times New Roman"/>
      <w:kern w:val="0"/>
      <w:sz w:val="18"/>
      <w:szCs w:val="18"/>
    </w:rPr>
  </w:style>
  <w:style w:type="character" w:customStyle="1" w:styleId="8">
    <w:name w:val="页眉 Char"/>
    <w:basedOn w:val="6"/>
    <w:link w:val="4"/>
    <w:semiHidden/>
    <w:qFormat/>
    <w:uiPriority w:val="0"/>
    <w:rPr>
      <w:rFonts w:ascii="Tahoma" w:hAnsi="Tahoma" w:eastAsia="微软雅黑" w:cs="Times New Roman"/>
      <w:kern w:val="0"/>
      <w:sz w:val="18"/>
      <w:szCs w:val="18"/>
    </w:rPr>
  </w:style>
  <w:style w:type="paragraph" w:customStyle="1" w:styleId="9">
    <w:name w:val="批注框文本 Char Char"/>
    <w:basedOn w:val="1"/>
    <w:link w:val="12"/>
    <w:qFormat/>
    <w:uiPriority w:val="0"/>
    <w:pPr>
      <w:spacing w:after="0"/>
    </w:pPr>
    <w:rPr>
      <w:rFonts w:ascii="Tahoma" w:hAnsi="Tahoma" w:eastAsia="微软雅黑" w:cs="Times New Roman"/>
      <w:kern w:val="0"/>
      <w:sz w:val="18"/>
      <w:szCs w:val="18"/>
    </w:rPr>
  </w:style>
  <w:style w:type="paragraph" w:customStyle="1" w:styleId="10">
    <w:name w:val="引文目录标题1"/>
    <w:basedOn w:val="1"/>
    <w:next w:val="1"/>
    <w:qFormat/>
    <w:uiPriority w:val="0"/>
    <w:pPr>
      <w:widowControl w:val="0"/>
      <w:snapToGrid/>
      <w:spacing w:before="120" w:after="0" w:line="398" w:lineRule="atLeast"/>
      <w:jc w:val="both"/>
      <w:textAlignment w:val="baseline"/>
    </w:pPr>
    <w:rPr>
      <w:rFonts w:ascii="Arial" w:hAnsi="Arial" w:eastAsia="宋体" w:cs="Arial"/>
      <w:sz w:val="24"/>
      <w:szCs w:val="24"/>
    </w:rPr>
  </w:style>
  <w:style w:type="paragraph" w:customStyle="1" w:styleId="11">
    <w:name w:val="List Paragraph"/>
    <w:basedOn w:val="1"/>
    <w:qFormat/>
    <w:uiPriority w:val="0"/>
    <w:pPr>
      <w:ind w:firstLine="420" w:firstLineChars="200"/>
    </w:pPr>
  </w:style>
  <w:style w:type="character" w:customStyle="1" w:styleId="12">
    <w:name w:val="批注框文本 Char Char Char"/>
    <w:basedOn w:val="6"/>
    <w:link w:val="9"/>
    <w:semiHidden/>
    <w:qFormat/>
    <w:uiPriority w:val="0"/>
    <w:rPr>
      <w:rFonts w:ascii="Tahoma" w:hAnsi="Tahoma" w:eastAsia="微软雅黑" w:cs="Times New Roman"/>
      <w:kern w:val="0"/>
      <w:sz w:val="18"/>
      <w:szCs w:val="18"/>
    </w:rPr>
  </w:style>
  <w:style w:type="paragraph" w:customStyle="1" w:styleId="13">
    <w:name w:val="toa heading"/>
    <w:basedOn w:val="1"/>
    <w:next w:val="1"/>
    <w:qFormat/>
    <w:uiPriority w:val="0"/>
    <w:pPr>
      <w:adjustRightInd w:val="0"/>
      <w:spacing w:line="398" w:lineRule="atLeast"/>
      <w:textAlignment w:val="baseline"/>
    </w:pPr>
    <w:rPr>
      <w:rFonts w:ascii="Arial" w:hAnsi="Arial" w:cs="Arial"/>
      <w:kern w:val="0"/>
      <w:sz w:val="24"/>
    </w:rPr>
  </w:style>
  <w:style w:type="paragraph" w:customStyle="1" w:styleId="14">
    <w:name w:val="表格文字"/>
    <w:basedOn w:val="1"/>
    <w:next w:val="2"/>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1386</Words>
  <Characters>7904</Characters>
  <Lines>65</Lines>
  <Paragraphs>18</Paragraphs>
  <TotalTime>42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2021-08-07T17:46:00Z</dcterms:created>
  <dc:creator>dreamsummit</dc:creator>
  <cp:lastModifiedBy>Administrator</cp:lastModifiedBy>
  <cp:lastPrinted>2021-12-02T08:49:37Z</cp:lastPrinted>
  <dcterms:modified xsi:type="dcterms:W3CDTF">2021-12-02T08:49:48Z</dcterms:modified>
  <dc:title>dreamsummit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05F5BC7CD5474A51BE35308BD141F59A</vt:lpwstr>
  </property>
</Properties>
</file>