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70碳化硅</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29</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202101200011THG</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70碳化硅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6</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11</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bookmarkStart w:id="0" w:name="_GoBack"/>
      <w:bookmarkEnd w:id="0"/>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2、本次招标招六个月的供货量，70碳化硅约600吨（该数量为理论需求数量，具体供货数量以生产单位实际用量为准，具体供货时间以商务部门通知为准。</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3、参标单位必须满足招标数量要求。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4、以上招标数量为六个月理论使用用量。</w:t>
      </w:r>
    </w:p>
    <w:p>
      <w:pPr>
        <w:numPr>
          <w:ilvl w:val="0"/>
          <w:numId w:val="0"/>
        </w:numPr>
        <w:spacing w:line="360" w:lineRule="auto"/>
        <w:ind w:left="840" w:leftChars="0"/>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pStyle w:val="2"/>
        <w:rPr>
          <w:rFonts w:hint="eastAsia"/>
        </w:rPr>
      </w:pPr>
    </w:p>
    <w:p>
      <w:pPr>
        <w:jc w:val="center"/>
        <w:rPr>
          <w:rFonts w:hint="eastAsia"/>
          <w:b/>
          <w:color w:val="auto"/>
          <w:sz w:val="36"/>
          <w:szCs w:val="36"/>
          <w:u w:val="none" w:color="auto"/>
          <w:lang w:eastAsia="zh-CN"/>
        </w:rPr>
      </w:pPr>
      <w:r>
        <w:rPr>
          <w:rFonts w:hint="eastAsia"/>
          <w:b/>
          <w:color w:val="auto"/>
          <w:sz w:val="36"/>
          <w:szCs w:val="36"/>
          <w:u w:val="none" w:color="auto"/>
          <w:lang w:val="en-US" w:eastAsia="zh-CN"/>
        </w:rPr>
        <w:t>70碳化硅</w:t>
      </w:r>
      <w:r>
        <w:rPr>
          <w:rFonts w:hint="eastAsia"/>
          <w:b/>
          <w:color w:val="auto"/>
          <w:sz w:val="36"/>
          <w:szCs w:val="36"/>
          <w:u w:val="none" w:color="auto"/>
          <w:lang w:eastAsia="zh-CN"/>
        </w:rPr>
        <w:t>质量标准技术统一平台</w:t>
      </w:r>
    </w:p>
    <w:p>
      <w:pPr>
        <w:keepNext w:val="0"/>
        <w:keepLines w:val="0"/>
        <w:pageBreakBefore w:val="0"/>
        <w:widowControl w:val="0"/>
        <w:numPr>
          <w:ilvl w:val="0"/>
          <w:numId w:val="8"/>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本标准规定了炼钢用70碳化硅的采购标准、让步接受条件及包装要求。</w:t>
      </w:r>
    </w:p>
    <w:p>
      <w:pPr>
        <w:keepNext w:val="0"/>
        <w:keepLines w:val="0"/>
        <w:pageBreakBefore w:val="0"/>
        <w:widowControl w:val="0"/>
        <w:numPr>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2.技术要求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SiC、游离C、S、H2O、粒度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SiC≥70%；游离C≥5%；H2O≤0.5%；S≤0.15%；粒度：小于0.5mm的比例≤5%；大于5mm的比例≤5%</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SiC≥65%；游离C≥3%；H2O≤1.5%；S≤0.2%；粒度：小于0.5mm的比例≤10%；大于5mm的比例≤10%</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2.4不合格处理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1、65%≤SiC≤70%，每下降1.0%，合同价格降2%，SiC≤65%，退货，因故不能退货双倍处罚；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2、游离C≤5%，每下降1.0%，合同价格降2%，游离C≤3%退货，因故不能退货双倍处罚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3、S%每超出范围0.01%，每吨分别考核单价的1%，</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4、H2O每增加0.1%，合同价格降1%，，H2O＞1.5%，作退货处理，因故不能退货双倍处罚；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5、粒度超出扣吨位；超出让步范围原则上退货或在原处罚基础上双倍扣罚。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w:t>
      </w:r>
      <w:r>
        <w:rPr>
          <w:rFonts w:hint="eastAsia"/>
          <w:b/>
          <w:bCs w:val="0"/>
          <w:color w:val="auto"/>
          <w:sz w:val="24"/>
          <w:szCs w:val="24"/>
          <w:u w:val="none" w:color="auto"/>
          <w:lang w:val="en-US" w:eastAsia="zh-CN"/>
        </w:rPr>
        <w:t>.包装要求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b w:val="0"/>
          <w:bCs/>
          <w:color w:val="auto"/>
          <w:sz w:val="24"/>
          <w:szCs w:val="24"/>
          <w:u w:val="none" w:color="auto"/>
          <w:lang w:val="en-US" w:eastAsia="zh-CN"/>
        </w:rPr>
        <w:t>1、</w:t>
      </w:r>
      <w:r>
        <w:rPr>
          <w:rFonts w:hint="eastAsia" w:cs="Times New Roman"/>
          <w:b w:val="0"/>
          <w:bCs/>
          <w:color w:val="auto"/>
          <w:sz w:val="24"/>
          <w:szCs w:val="24"/>
          <w:u w:val="none" w:color="auto"/>
          <w:lang w:eastAsia="zh-CN"/>
        </w:rPr>
        <w:t>内小袋重量</w:t>
      </w:r>
      <w:r>
        <w:rPr>
          <w:rFonts w:hint="default" w:ascii="Times New Roman" w:hAnsi="Times New Roman" w:cs="Times New Roman"/>
          <w:b w:val="0"/>
          <w:bCs/>
          <w:color w:val="auto"/>
          <w:sz w:val="24"/>
          <w:szCs w:val="24"/>
          <w:u w:val="none" w:color="auto"/>
        </w:rPr>
        <w:t>15±0.2KG。</w:t>
      </w:r>
      <w:r>
        <w:rPr>
          <w:rFonts w:hint="default" w:ascii="Times New Roman" w:hAnsi="Times New Roman" w:cs="Times New Roman"/>
          <w:b w:val="0"/>
          <w:bCs/>
          <w:color w:val="auto"/>
          <w:sz w:val="24"/>
          <w:szCs w:val="24"/>
          <w:u w:val="none" w:color="auto"/>
          <w:lang w:eastAsia="zh-CN"/>
        </w:rPr>
        <w:t>四层包装，</w:t>
      </w:r>
      <w:r>
        <w:rPr>
          <w:rFonts w:hint="eastAsia" w:cs="Times New Roman"/>
          <w:b w:val="0"/>
          <w:bCs/>
          <w:color w:val="auto"/>
          <w:sz w:val="24"/>
          <w:szCs w:val="24"/>
          <w:u w:val="none" w:color="auto"/>
          <w:lang w:eastAsia="zh-CN"/>
        </w:rPr>
        <w:t>做好防潮措，施吨袋包装外层和小袋包装外层为编织袋</w:t>
      </w:r>
      <w:r>
        <w:rPr>
          <w:rFonts w:hint="eastAsia" w:cs="Times New Roman"/>
          <w:b w:val="0"/>
          <w:bCs/>
          <w:color w:val="auto"/>
          <w:sz w:val="24"/>
          <w:szCs w:val="24"/>
          <w:u w:val="none" w:color="auto"/>
          <w:lang w:val="en-US" w:eastAsia="zh-CN"/>
        </w:rPr>
        <w:t>，吨袋包装内层和小袋包装内层为厚塑料膜，吨袋内膜必须扎口。塑料袋保证质量，不易刺破，起到防潮效果。</w:t>
      </w:r>
      <w:r>
        <w:rPr>
          <w:rFonts w:hint="default" w:ascii="Times New Roman" w:hAnsi="Times New Roman" w:cs="Times New Roman"/>
          <w:b w:val="0"/>
          <w:bCs/>
          <w:color w:val="auto"/>
          <w:sz w:val="24"/>
          <w:szCs w:val="24"/>
          <w:u w:val="none" w:color="auto"/>
        </w:rPr>
        <w:t>包装袋上必须注明物资名称、生产厂家、包装重量</w:t>
      </w:r>
      <w:r>
        <w:rPr>
          <w:rFonts w:hint="eastAsia" w:cs="Times New Roman"/>
          <w:b w:val="0"/>
          <w:bCs/>
          <w:color w:val="auto"/>
          <w:sz w:val="24"/>
          <w:szCs w:val="24"/>
          <w:u w:val="none" w:color="auto"/>
          <w:lang w:eastAsia="zh-CN"/>
        </w:rPr>
        <w:t>、生产日期</w:t>
      </w:r>
      <w:r>
        <w:rPr>
          <w:rFonts w:hint="default" w:ascii="Times New Roman" w:hAnsi="Times New Roman" w:cs="Times New Roman"/>
          <w:b w:val="0"/>
          <w:bCs/>
          <w:color w:val="auto"/>
          <w:sz w:val="24"/>
          <w:szCs w:val="24"/>
          <w:u w:val="none" w:color="auto"/>
          <w:lang w:eastAsia="zh-CN"/>
        </w:rPr>
        <w:t>等信息</w:t>
      </w:r>
      <w:r>
        <w:rPr>
          <w:rFonts w:hint="default" w:ascii="Times New Roman" w:hAnsi="Times New Roman" w:cs="Times New Roman"/>
          <w:b w:val="0"/>
          <w:bCs/>
          <w:color w:val="auto"/>
          <w:sz w:val="24"/>
          <w:szCs w:val="24"/>
          <w:u w:val="none" w:color="auto"/>
        </w:rPr>
        <w:t>。如包装重量发生变化，提前通知供货厂家并进行调整。大袋包装重量为</w:t>
      </w:r>
      <w:r>
        <w:rPr>
          <w:rFonts w:hint="eastAsia" w:cs="Times New Roman"/>
          <w:b w:val="0"/>
          <w:bCs/>
          <w:color w:val="auto"/>
          <w:sz w:val="24"/>
          <w:szCs w:val="24"/>
          <w:u w:val="none" w:color="auto"/>
          <w:lang w:val="en-US" w:eastAsia="zh-CN"/>
        </w:rPr>
        <w:t>1000</w:t>
      </w:r>
      <w:r>
        <w:rPr>
          <w:rFonts w:hint="default" w:ascii="Times New Roman" w:hAnsi="Times New Roman" w:cs="Times New Roman"/>
          <w:b w:val="0"/>
          <w:bCs/>
          <w:color w:val="auto"/>
          <w:sz w:val="24"/>
          <w:szCs w:val="24"/>
          <w:u w:val="none" w:color="auto"/>
        </w:rPr>
        <w:t>公斤包装。</w:t>
      </w:r>
      <w:r>
        <w:rPr>
          <w:rFonts w:hint="eastAsia" w:cs="Times New Roman"/>
          <w:b w:val="0"/>
          <w:bCs/>
          <w:color w:val="auto"/>
          <w:sz w:val="24"/>
          <w:szCs w:val="24"/>
          <w:u w:val="none" w:color="auto"/>
          <w:lang w:eastAsia="zh-CN"/>
        </w:rPr>
        <w:t>包装袋供方不回收。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szCs w:val="24"/>
          <w:u w:val="none" w:color="auto"/>
        </w:rPr>
      </w:pPr>
      <w:r>
        <w:rPr>
          <w:rFonts w:hint="eastAsia" w:cs="Times New Roman"/>
          <w:b w:val="0"/>
          <w:bCs/>
          <w:color w:val="auto"/>
          <w:sz w:val="24"/>
          <w:szCs w:val="24"/>
          <w:u w:val="none" w:color="auto"/>
          <w:lang w:val="en-US" w:eastAsia="zh-CN"/>
        </w:rPr>
        <w:t>2、</w:t>
      </w:r>
      <w:r>
        <w:rPr>
          <w:rFonts w:hint="default" w:ascii="Times New Roman" w:hAnsi="Times New Roman" w:cs="Times New Roman"/>
          <w:b w:val="0"/>
          <w:bCs/>
          <w:color w:val="auto"/>
          <w:sz w:val="24"/>
          <w:szCs w:val="24"/>
          <w:u w:val="none" w:color="auto"/>
        </w:rPr>
        <w:t>包装吨袋质量必须保证，如果因为吨袋质量问题导致在卸货过程中出现漏料、撒料的情况，全部责任由供方承担。</w:t>
      </w:r>
    </w:p>
    <w:p>
      <w:pPr>
        <w:keepNext w:val="0"/>
        <w:keepLines w:val="0"/>
        <w:pageBreakBefore w:val="0"/>
        <w:widowControl w:val="0"/>
        <w:numPr>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4.贮存</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70碳化硅存放在公司合金库房。</w:t>
      </w:r>
    </w:p>
    <w:p>
      <w:pPr>
        <w:keepNext w:val="0"/>
        <w:keepLines w:val="0"/>
        <w:pageBreakBefore w:val="0"/>
        <w:widowControl w:val="0"/>
        <w:numPr>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default" w:cs="Times New Roman"/>
          <w:b w:val="0"/>
          <w:bCs/>
          <w:color w:val="auto"/>
          <w:sz w:val="24"/>
          <w:szCs w:val="24"/>
          <w:u w:val="none" w:color="auto"/>
          <w:lang w:val="en-US" w:eastAsia="zh-CN"/>
        </w:rPr>
      </w:pPr>
      <w:r>
        <w:rPr>
          <w:rFonts w:hint="eastAsia" w:cs="Times New Roman"/>
          <w:b/>
          <w:bCs w:val="0"/>
          <w:color w:val="auto"/>
          <w:sz w:val="24"/>
          <w:szCs w:val="24"/>
          <w:u w:val="none" w:color="auto"/>
          <w:lang w:val="en-US" w:eastAsia="zh-CN"/>
        </w:rPr>
        <w:t>5.数量：</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firstLine="240" w:firstLineChars="100"/>
        <w:jc w:val="left"/>
        <w:textAlignment w:val="auto"/>
        <w:outlineLvl w:val="9"/>
        <w:rPr>
          <w:rFonts w:hint="default"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 xml:space="preserve">  70碳化硅每个月的使用量约100吨，6个月理论使用量600吨。</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cs="Times New Roman"/>
          <w:b w:val="0"/>
          <w:bCs/>
          <w:color w:val="auto"/>
          <w:sz w:val="24"/>
          <w:szCs w:val="24"/>
          <w:u w:val="none" w:color="auto"/>
          <w:lang w:val="en-US" w:eastAsia="zh-CN"/>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70碳化硅</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995</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2021-12-29T02:28:42Z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