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芜湖新兴铸管有限责任公司</w:t>
      </w:r>
    </w:p>
    <w:p>
      <w:pPr>
        <w:pStyle w:val="11"/>
        <w:tabs>
          <w:tab w:val="center" w:pos="4213"/>
          <w:tab w:val="right" w:pos="8306"/>
        </w:tabs>
        <w:snapToGrid w:val="0"/>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铁前部料场过滤器</w:t>
      </w:r>
    </w:p>
    <w:p>
      <w:pPr>
        <w:pStyle w:val="11"/>
        <w:snapToGrid w:val="0"/>
        <w:ind w:firstLine="0"/>
        <w:jc w:val="both"/>
        <w:rPr>
          <w:rFonts w:asciiTheme="minorEastAsia" w:hAnsiTheme="minorEastAsia" w:eastAsiaTheme="minorEastAsia"/>
          <w:b/>
          <w:spacing w:val="16"/>
          <w:sz w:val="52"/>
          <w:szCs w:val="52"/>
        </w:rPr>
      </w:pPr>
    </w:p>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技</w:t>
      </w:r>
    </w:p>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术</w:t>
      </w:r>
    </w:p>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规</w:t>
      </w:r>
    </w:p>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格</w:t>
      </w:r>
    </w:p>
    <w:p>
      <w:pPr>
        <w:pStyle w:val="11"/>
        <w:ind w:firstLine="0"/>
        <w:rPr>
          <w:rFonts w:cs="宋体" w:asciiTheme="minorEastAsia" w:hAnsiTheme="minorEastAsia" w:eastAsiaTheme="minorEastAsia"/>
          <w:bCs/>
          <w:sz w:val="52"/>
          <w:szCs w:val="52"/>
        </w:rPr>
      </w:pPr>
      <w:r>
        <w:rPr>
          <w:rFonts w:hint="eastAsia" w:cs="宋体" w:asciiTheme="minorEastAsia" w:hAnsiTheme="minorEastAsia" w:eastAsiaTheme="minorEastAsia"/>
          <w:bCs/>
          <w:sz w:val="52"/>
          <w:szCs w:val="52"/>
        </w:rPr>
        <w:t>书</w:t>
      </w:r>
    </w:p>
    <w:p>
      <w:pPr>
        <w:pStyle w:val="18"/>
        <w:adjustRightInd w:val="0"/>
        <w:snapToGrid w:val="0"/>
        <w:spacing w:line="360" w:lineRule="auto"/>
        <w:rPr>
          <w:rFonts w:cs="黑体" w:asciiTheme="minorEastAsia" w:hAnsiTheme="minorEastAsia" w:eastAsiaTheme="minorEastAsia"/>
          <w:sz w:val="36"/>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adjustRightInd w:val="0"/>
        <w:snapToGrid w:val="0"/>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28"/>
          <w:szCs w:val="28"/>
        </w:rPr>
        <w:t>编制：         审核：          会签：           批准：</w:t>
      </w:r>
    </w:p>
    <w:p>
      <w:pPr>
        <w:pageBreakBefore/>
        <w:adjustRightInd w:val="0"/>
        <w:snapToGrid w:val="0"/>
        <w:spacing w:line="360" w:lineRule="auto"/>
        <w:outlineLvl w:val="0"/>
        <w:rPr>
          <w:rFonts w:asciiTheme="minorEastAsia" w:hAnsiTheme="minorEastAsia" w:eastAsiaTheme="minorEastAsia"/>
          <w:b/>
          <w:bCs/>
          <w:sz w:val="32"/>
          <w:szCs w:val="32"/>
        </w:rPr>
        <w:sectPr>
          <w:pgSz w:w="11906" w:h="16838"/>
          <w:pgMar w:top="1418" w:right="1418" w:bottom="1418" w:left="1418" w:header="851" w:footer="992" w:gutter="0"/>
          <w:pgNumType w:start="1"/>
          <w:cols w:space="720" w:num="1"/>
          <w:docGrid w:type="lines" w:linePitch="326" w:charSpace="0"/>
        </w:sectPr>
      </w:pPr>
    </w:p>
    <w:p>
      <w:pPr>
        <w:pageBreakBefore/>
        <w:adjustRightInd w:val="0"/>
        <w:snapToGrid w:val="0"/>
        <w:spacing w:line="360" w:lineRule="auto"/>
        <w:outlineLvl w:val="0"/>
        <w:rPr>
          <w:rFonts w:asciiTheme="minorEastAsia" w:hAnsiTheme="minorEastAsia" w:eastAsiaTheme="minorEastAsia"/>
          <w:b/>
          <w:spacing w:val="10"/>
          <w:sz w:val="84"/>
        </w:rPr>
      </w:pPr>
      <w:r>
        <w:rPr>
          <w:rFonts w:hint="eastAsia" w:asciiTheme="minorEastAsia" w:hAnsiTheme="minorEastAsia" w:eastAsiaTheme="minorEastAsia"/>
          <w:b/>
          <w:bCs/>
          <w:sz w:val="32"/>
          <w:szCs w:val="32"/>
        </w:rPr>
        <w:t>一、总则</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本规格书适用于铁前部料场过滤器。</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w:t>
      </w:r>
      <w:r>
        <w:rPr>
          <w:rFonts w:cs="Times New Roman" w:asciiTheme="minorEastAsia" w:hAnsiTheme="minorEastAsia" w:eastAsiaTheme="minorEastAsia"/>
          <w:kern w:val="2"/>
          <w:sz w:val="28"/>
          <w:szCs w:val="28"/>
        </w:rPr>
        <w:t>.本</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w:t>
      </w:r>
      <w:r>
        <w:rPr>
          <w:rFonts w:hint="eastAsia" w:cs="Times New Roman" w:asciiTheme="minorEastAsia" w:hAnsiTheme="minorEastAsia" w:eastAsiaTheme="minorEastAsia"/>
          <w:kern w:val="2"/>
          <w:sz w:val="28"/>
          <w:szCs w:val="28"/>
        </w:rPr>
        <w:t>提出了铁前部料场过滤器的</w:t>
      </w:r>
      <w:r>
        <w:rPr>
          <w:rFonts w:cs="Times New Roman" w:asciiTheme="minorEastAsia" w:hAnsiTheme="minorEastAsia" w:eastAsiaTheme="minorEastAsia"/>
          <w:kern w:val="2"/>
          <w:sz w:val="28"/>
          <w:szCs w:val="28"/>
        </w:rPr>
        <w:t>相关</w:t>
      </w:r>
      <w:r>
        <w:rPr>
          <w:rFonts w:hint="eastAsia" w:cs="Times New Roman" w:asciiTheme="minorEastAsia" w:hAnsiTheme="minorEastAsia" w:eastAsiaTheme="minorEastAsia"/>
          <w:kern w:val="2"/>
          <w:sz w:val="28"/>
          <w:szCs w:val="28"/>
        </w:rPr>
        <w:t>技术</w:t>
      </w:r>
      <w:r>
        <w:rPr>
          <w:rFonts w:cs="Times New Roman" w:asciiTheme="minorEastAsia" w:hAnsiTheme="minorEastAsia" w:eastAsiaTheme="minorEastAsia"/>
          <w:kern w:val="2"/>
          <w:sz w:val="28"/>
          <w:szCs w:val="28"/>
        </w:rPr>
        <w:t>要求</w:t>
      </w:r>
      <w:r>
        <w:rPr>
          <w:rFonts w:hint="eastAsia" w:cs="Times New Roman" w:asciiTheme="minorEastAsia" w:hAnsiTheme="minorEastAsia" w:eastAsiaTheme="minorEastAsia"/>
          <w:kern w:val="2"/>
          <w:sz w:val="28"/>
          <w:szCs w:val="28"/>
        </w:rPr>
        <w:t>。上述装置的方案</w:t>
      </w:r>
      <w:r>
        <w:rPr>
          <w:rFonts w:cs="Times New Roman" w:asciiTheme="minorEastAsia" w:hAnsiTheme="minorEastAsia" w:eastAsiaTheme="minorEastAsia"/>
          <w:kern w:val="2"/>
          <w:sz w:val="28"/>
          <w:szCs w:val="28"/>
        </w:rPr>
        <w:t>设计、</w:t>
      </w:r>
      <w:r>
        <w:rPr>
          <w:rFonts w:hint="eastAsia" w:cs="Times New Roman" w:asciiTheme="minorEastAsia" w:hAnsiTheme="minorEastAsia" w:eastAsiaTheme="minorEastAsia"/>
          <w:kern w:val="2"/>
          <w:sz w:val="28"/>
          <w:szCs w:val="28"/>
        </w:rPr>
        <w:t>供货、</w:t>
      </w:r>
      <w:r>
        <w:rPr>
          <w:rFonts w:cs="Times New Roman" w:asciiTheme="minorEastAsia" w:hAnsiTheme="minorEastAsia" w:eastAsiaTheme="minorEastAsia"/>
          <w:kern w:val="2"/>
          <w:sz w:val="28"/>
          <w:szCs w:val="28"/>
        </w:rPr>
        <w:t>安装指导</w:t>
      </w:r>
      <w:r>
        <w:rPr>
          <w:rFonts w:hint="eastAsia" w:cs="Times New Roman" w:asciiTheme="minorEastAsia" w:hAnsiTheme="minorEastAsia" w:eastAsiaTheme="minorEastAsia"/>
          <w:kern w:val="2"/>
          <w:sz w:val="28"/>
          <w:szCs w:val="28"/>
        </w:rPr>
        <w:t>、调试、验收配合等</w:t>
      </w:r>
      <w:r>
        <w:rPr>
          <w:rFonts w:cs="Times New Roman" w:asciiTheme="minorEastAsia" w:hAnsiTheme="minorEastAsia" w:eastAsiaTheme="minorEastAsia"/>
          <w:kern w:val="2"/>
          <w:sz w:val="28"/>
          <w:szCs w:val="28"/>
        </w:rPr>
        <w:t>方面</w:t>
      </w:r>
      <w:r>
        <w:rPr>
          <w:rFonts w:hint="eastAsia" w:cs="Times New Roman" w:asciiTheme="minorEastAsia" w:hAnsiTheme="minorEastAsia" w:eastAsiaTheme="minorEastAsia"/>
          <w:kern w:val="2"/>
          <w:sz w:val="28"/>
          <w:szCs w:val="28"/>
        </w:rPr>
        <w:t>工作均由卖方完成</w:t>
      </w:r>
      <w:r>
        <w:rPr>
          <w:rFonts w:cs="Times New Roman" w:asciiTheme="minorEastAsia" w:hAnsiTheme="minorEastAsia" w:eastAsiaTheme="minorEastAsia"/>
          <w:kern w:val="2"/>
          <w:sz w:val="28"/>
          <w:szCs w:val="28"/>
        </w:rPr>
        <w:t>。</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w:t>
      </w:r>
      <w:r>
        <w:rPr>
          <w:rFonts w:cs="Times New Roman" w:asciiTheme="minorEastAsia" w:hAnsiTheme="minorEastAsia" w:eastAsiaTheme="minorEastAsia"/>
          <w:kern w:val="2"/>
          <w:sz w:val="28"/>
          <w:szCs w:val="28"/>
        </w:rPr>
        <w:t>.本</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书提出的是最低限度的技术要求，并未对一切技术细节作出规定，也未充分引述有关标准和规范的条文，卖方应提供符合本</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书和有关工业标准的优质产品。对国家有关环保</w:t>
      </w:r>
      <w:r>
        <w:rPr>
          <w:rFonts w:hint="eastAsia" w:cs="Times New Roman" w:asciiTheme="minorEastAsia" w:hAnsiTheme="minorEastAsia" w:eastAsiaTheme="minorEastAsia"/>
          <w:kern w:val="2"/>
          <w:sz w:val="28"/>
          <w:szCs w:val="28"/>
        </w:rPr>
        <w:t>、安全</w:t>
      </w:r>
      <w:r>
        <w:rPr>
          <w:rFonts w:cs="Times New Roman" w:asciiTheme="minorEastAsia" w:hAnsiTheme="minorEastAsia" w:eastAsiaTheme="minorEastAsia"/>
          <w:kern w:val="2"/>
          <w:sz w:val="28"/>
          <w:szCs w:val="28"/>
        </w:rPr>
        <w:t>等强制性标准，必须满足其要求。</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cs="Times New Roman" w:asciiTheme="minorEastAsia" w:hAnsiTheme="minorEastAsia" w:eastAsiaTheme="minorEastAsia"/>
          <w:kern w:val="2"/>
          <w:sz w:val="28"/>
          <w:szCs w:val="28"/>
        </w:rPr>
        <w:t>.如果卖方没有以书面形式对本</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书的条文提出异议，则意味着卖方提供的设备完全符合本</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书的要求。如有异议，应在投标书中以“对规</w:t>
      </w:r>
      <w:r>
        <w:rPr>
          <w:rFonts w:hint="eastAsia" w:cs="Times New Roman" w:asciiTheme="minorEastAsia" w:hAnsiTheme="minorEastAsia" w:eastAsiaTheme="minorEastAsia"/>
          <w:kern w:val="2"/>
          <w:sz w:val="28"/>
          <w:szCs w:val="28"/>
        </w:rPr>
        <w:t>格</w:t>
      </w:r>
      <w:r>
        <w:rPr>
          <w:rFonts w:cs="Times New Roman" w:asciiTheme="minorEastAsia" w:hAnsiTheme="minorEastAsia" w:eastAsiaTheme="minorEastAsia"/>
          <w:kern w:val="2"/>
          <w:sz w:val="28"/>
          <w:szCs w:val="28"/>
        </w:rPr>
        <w:t>书的意见和同</w:t>
      </w:r>
      <w:r>
        <w:rPr>
          <w:rFonts w:hint="eastAsia" w:cs="Times New Roman" w:asciiTheme="minorEastAsia" w:hAnsiTheme="minorEastAsia" w:eastAsiaTheme="minorEastAsia"/>
          <w:kern w:val="2"/>
          <w:sz w:val="28"/>
          <w:szCs w:val="28"/>
        </w:rPr>
        <w:t>规格</w:t>
      </w:r>
      <w:r>
        <w:rPr>
          <w:rFonts w:cs="Times New Roman" w:asciiTheme="minorEastAsia" w:hAnsiTheme="minorEastAsia" w:eastAsiaTheme="minorEastAsia"/>
          <w:kern w:val="2"/>
          <w:sz w:val="28"/>
          <w:szCs w:val="28"/>
        </w:rPr>
        <w:t>书的差异”为标题的专门章节中加以详细描述。</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5</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本技术规格书所使用的标准，如与卖方所执行的标准不一致时，按较高的标准执行。如果本技术规格书与现行使用的有关国家标准以及颁布标准有明显抵触的条文，卖方应及时书面通知买方进行沟通</w:t>
      </w:r>
      <w:r>
        <w:rPr>
          <w:rFonts w:cs="Times New Roman" w:asciiTheme="minorEastAsia" w:hAnsiTheme="minorEastAsia" w:eastAsiaTheme="minorEastAsia"/>
          <w:kern w:val="2"/>
          <w:sz w:val="28"/>
          <w:szCs w:val="28"/>
        </w:rPr>
        <w:t>。</w:t>
      </w:r>
    </w:p>
    <w:p>
      <w:pPr>
        <w:pStyle w:val="6"/>
        <w:tabs>
          <w:tab w:val="left" w:pos="425"/>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bookmarkStart w:id="0" w:name="_Toc535052067"/>
      <w:r>
        <w:rPr>
          <w:rFonts w:hint="eastAsia" w:cs="Times New Roman" w:asciiTheme="minorEastAsia" w:hAnsiTheme="minorEastAsia" w:eastAsiaTheme="minorEastAsia"/>
          <w:kern w:val="2"/>
          <w:sz w:val="28"/>
          <w:szCs w:val="28"/>
        </w:rPr>
        <w:t>6</w:t>
      </w:r>
      <w:r>
        <w:rPr>
          <w:rFonts w:cs="Times New Roman" w:asciiTheme="minorEastAsia" w:hAnsiTheme="minorEastAsia" w:eastAsiaTheme="minorEastAsia"/>
          <w:kern w:val="2"/>
          <w:sz w:val="28"/>
          <w:szCs w:val="28"/>
        </w:rPr>
        <w:t>.卖方应提供高质量的设备</w:t>
      </w:r>
      <w:r>
        <w:rPr>
          <w:rFonts w:hint="eastAsia" w:cs="Times New Roman" w:asciiTheme="minorEastAsia" w:hAnsiTheme="minorEastAsia" w:eastAsiaTheme="minorEastAsia"/>
          <w:kern w:val="2"/>
          <w:sz w:val="28"/>
          <w:szCs w:val="28"/>
        </w:rPr>
        <w:t>，</w:t>
      </w:r>
      <w:r>
        <w:rPr>
          <w:rFonts w:cs="Times New Roman" w:asciiTheme="minorEastAsia" w:hAnsiTheme="minorEastAsia" w:eastAsiaTheme="minorEastAsia"/>
          <w:kern w:val="2"/>
          <w:sz w:val="28"/>
          <w:szCs w:val="28"/>
        </w:rPr>
        <w:t>这些设备是成熟可靠、技术先进的，</w:t>
      </w:r>
      <w:r>
        <w:rPr>
          <w:rFonts w:hint="eastAsia" w:cs="Times New Roman" w:asciiTheme="minorEastAsia" w:hAnsiTheme="minorEastAsia" w:eastAsiaTheme="minorEastAsia"/>
          <w:kern w:val="2"/>
          <w:sz w:val="28"/>
          <w:szCs w:val="28"/>
        </w:rPr>
        <w:t>卖方</w:t>
      </w:r>
      <w:r>
        <w:rPr>
          <w:rFonts w:cs="Times New Roman" w:asciiTheme="minorEastAsia" w:hAnsiTheme="minorEastAsia" w:eastAsiaTheme="minorEastAsia"/>
          <w:kern w:val="2"/>
          <w:sz w:val="28"/>
          <w:szCs w:val="28"/>
        </w:rPr>
        <w:t>具有设备制造、运行成功</w:t>
      </w:r>
      <w:r>
        <w:rPr>
          <w:rFonts w:hint="eastAsia" w:cs="Times New Roman" w:asciiTheme="minorEastAsia" w:hAnsiTheme="minorEastAsia" w:eastAsiaTheme="minorEastAsia"/>
          <w:kern w:val="2"/>
          <w:sz w:val="28"/>
          <w:szCs w:val="28"/>
        </w:rPr>
        <w:t>的</w:t>
      </w:r>
      <w:r>
        <w:rPr>
          <w:rFonts w:cs="Times New Roman" w:asciiTheme="minorEastAsia" w:hAnsiTheme="minorEastAsia" w:eastAsiaTheme="minorEastAsia"/>
          <w:kern w:val="2"/>
          <w:sz w:val="28"/>
          <w:szCs w:val="28"/>
        </w:rPr>
        <w:t>经验</w:t>
      </w:r>
      <w:r>
        <w:rPr>
          <w:rFonts w:hint="eastAsia" w:cs="Times New Roman" w:asciiTheme="minorEastAsia" w:hAnsiTheme="minorEastAsia" w:eastAsiaTheme="minorEastAsia"/>
          <w:kern w:val="2"/>
          <w:sz w:val="28"/>
          <w:szCs w:val="28"/>
        </w:rPr>
        <w:t>，提供相关</w:t>
      </w:r>
      <w:r>
        <w:rPr>
          <w:rFonts w:cs="Times New Roman" w:asciiTheme="minorEastAsia" w:hAnsiTheme="minorEastAsia" w:eastAsiaTheme="minorEastAsia"/>
          <w:kern w:val="2"/>
          <w:sz w:val="28"/>
          <w:szCs w:val="28"/>
        </w:rPr>
        <w:t>产品鉴定证书。</w:t>
      </w:r>
      <w:bookmarkEnd w:id="0"/>
    </w:p>
    <w:p>
      <w:pPr>
        <w:pStyle w:val="6"/>
        <w:tabs>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7</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设备采用的技术不得涉及他人的专利，所有专利涉及到的全部费用均已包含在设备报价中，卖方保证买方不承担有关设备专利的一切责任。</w:t>
      </w:r>
    </w:p>
    <w:p>
      <w:pPr>
        <w:pStyle w:val="6"/>
        <w:tabs>
          <w:tab w:val="left" w:pos="525"/>
        </w:tabs>
        <w:snapToGrid w:val="0"/>
        <w:spacing w:before="0" w:line="360" w:lineRule="auto"/>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8</w:t>
      </w:r>
      <w:r>
        <w:rPr>
          <w:rFonts w:cs="Times New Roman" w:asciiTheme="minorEastAsia" w:hAnsiTheme="minorEastAsia" w:eastAsiaTheme="minorEastAsia"/>
          <w:kern w:val="2"/>
          <w:sz w:val="28"/>
          <w:szCs w:val="28"/>
        </w:rPr>
        <w:t>.</w:t>
      </w:r>
      <w:r>
        <w:rPr>
          <w:rFonts w:hint="eastAsia" w:cs="Times New Roman" w:asciiTheme="minorEastAsia" w:hAnsiTheme="minorEastAsia" w:eastAsiaTheme="minorEastAsia"/>
          <w:kern w:val="2"/>
          <w:sz w:val="28"/>
          <w:szCs w:val="28"/>
        </w:rPr>
        <w:t>卖方负责过滤器的供货、安装指导、调试和验收。</w:t>
      </w: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二、概况</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芜湖新兴铸管有限责任公司铁前部综合料场降尘设备雾炮自带水过滤器，因过滤器水质要求较高，雾炮自带5um过滤器堵塞频繁，为延长过滤器清洗周期，拟在雾炮前主管道上增加一台自清洗过滤器。</w:t>
      </w:r>
    </w:p>
    <w:p>
      <w:pPr>
        <w:adjustRightInd w:val="0"/>
        <w:snapToGrid w:val="0"/>
        <w:spacing w:line="360" w:lineRule="auto"/>
        <w:ind w:firstLine="560" w:firstLineChars="200"/>
        <w:rPr>
          <w:rFonts w:asciiTheme="minorEastAsia" w:hAnsiTheme="minorEastAsia" w:eastAsiaTheme="minorEastAsia"/>
          <w:sz w:val="28"/>
          <w:szCs w:val="28"/>
        </w:rPr>
        <w:sectPr>
          <w:footerReference r:id="rId3" w:type="default"/>
          <w:pgSz w:w="11906" w:h="16838"/>
          <w:pgMar w:top="1418" w:right="1418" w:bottom="1418" w:left="1418" w:header="851" w:footer="992" w:gutter="0"/>
          <w:pgNumType w:start="1"/>
          <w:cols w:space="720" w:num="1"/>
          <w:docGrid w:type="lines" w:linePitch="326" w:charSpace="0"/>
        </w:sectPr>
      </w:pP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三、使用要求</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1、设备名称：自清洗过滤器</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2、数量：1套。</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3、使用性质:连续工作。</w:t>
      </w: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四、买方提供的能源介质参数</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1、水源：厂区中水，悬浮物≤100 mg/L，PH值6.5～9，总硬度≤450mg/L，压力：0.25～0.6MPa。</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2、电源：380V。AC380V/50HZ的三相四线电源。</w:t>
      </w: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五、</w:t>
      </w:r>
      <w:bookmarkStart w:id="1" w:name="_Toc514938882"/>
      <w:bookmarkStart w:id="2" w:name="_Toc388435484"/>
      <w:bookmarkStart w:id="3" w:name="_Toc307382981"/>
      <w:r>
        <w:rPr>
          <w:rFonts w:hint="eastAsia" w:asciiTheme="minorEastAsia" w:hAnsiTheme="minorEastAsia" w:eastAsiaTheme="minorEastAsia"/>
          <w:b/>
          <w:bCs/>
          <w:sz w:val="32"/>
          <w:szCs w:val="32"/>
        </w:rPr>
        <w:t>技术要求</w:t>
      </w:r>
    </w:p>
    <w:p>
      <w:pPr>
        <w:adjustRightInd w:val="0"/>
        <w:snapToGrid w:val="0"/>
        <w:spacing w:line="360" w:lineRule="auto"/>
        <w:ind w:firstLine="640" w:firstLineChars="200"/>
        <w:outlineLvl w:val="0"/>
        <w:rPr>
          <w:rFonts w:asciiTheme="minorEastAsia" w:hAnsiTheme="minorEastAsia" w:eastAsiaTheme="minorEastAsia"/>
          <w:b/>
          <w:bCs/>
          <w:sz w:val="32"/>
          <w:szCs w:val="32"/>
        </w:rPr>
      </w:pPr>
      <w:r>
        <w:rPr>
          <w:rFonts w:hint="eastAsia" w:asciiTheme="minorEastAsia" w:hAnsiTheme="minorEastAsia" w:eastAsiaTheme="minorEastAsia"/>
          <w:bCs/>
          <w:sz w:val="32"/>
          <w:szCs w:val="32"/>
        </w:rPr>
        <w:t>卖方负责整套系统的完整性及使用性。本技术文件未涉及但又属于本系统正常运行必备的部分，由卖方无条件、无偿补齐，且不发生任何费用。</w:t>
      </w:r>
    </w:p>
    <w:bookmarkEnd w:id="1"/>
    <w:bookmarkEnd w:id="2"/>
    <w:bookmarkEnd w:id="3"/>
    <w:p>
      <w:pPr>
        <w:numPr>
          <w:ilvl w:val="0"/>
          <w:numId w:val="2"/>
        </w:numPr>
        <w:rPr>
          <w:rFonts w:ascii="仿宋" w:hAnsi="仿宋" w:eastAsia="仿宋" w:cs="仿宋"/>
          <w:sz w:val="28"/>
          <w:szCs w:val="28"/>
        </w:rPr>
      </w:pPr>
      <w:r>
        <w:rPr>
          <w:rFonts w:hint="eastAsia" w:ascii="仿宋" w:hAnsi="仿宋" w:eastAsia="仿宋" w:cs="仿宋"/>
          <w:sz w:val="28"/>
          <w:szCs w:val="28"/>
        </w:rPr>
        <w:t>自动反冲洗过滤器，要求采用国际品牌，过滤器整机原装进口，适用于连续自动过滤的工况，过滤器设计流量不小于200吨/小时，设计压力1.</w:t>
      </w:r>
      <w:r>
        <w:rPr>
          <w:rFonts w:ascii="仿宋" w:hAnsi="仿宋" w:eastAsia="仿宋" w:cs="仿宋"/>
          <w:sz w:val="28"/>
          <w:szCs w:val="28"/>
        </w:rPr>
        <w:t>7</w:t>
      </w:r>
      <w:r>
        <w:rPr>
          <w:rFonts w:hint="eastAsia" w:ascii="仿宋" w:hAnsi="仿宋" w:eastAsia="仿宋" w:cs="仿宋"/>
          <w:sz w:val="28"/>
          <w:szCs w:val="28"/>
        </w:rPr>
        <w:t>MPa，设计温度80℃。反冲洗时出口流量和压力波动应不超过正常流量的2%。</w:t>
      </w:r>
    </w:p>
    <w:p>
      <w:pPr>
        <w:numPr>
          <w:ilvl w:val="0"/>
          <w:numId w:val="2"/>
        </w:num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过滤器通过PLC自动控制系统实时监测进、出口的压差，实现对过滤网进行自动清洗，无须人工值守。过滤器现场配触摸操作屏，并提供压差报警、故障显示及远程操作后期升级接口，必须实现与现有西门子400系列PLC兼容，可通过以太网开放式协议接口下挂到现有控制系统，做为子从站运行，在现有控制系统画面（WINCC7.4版本）上实现画面远程监控、操作。</w:t>
      </w:r>
    </w:p>
    <w:p>
      <w:pPr>
        <w:numPr>
          <w:ilvl w:val="0"/>
          <w:numId w:val="2"/>
        </w:numPr>
        <w:rPr>
          <w:rFonts w:ascii="仿宋" w:hAnsi="仿宋" w:eastAsia="仿宋" w:cs="仿宋"/>
          <w:sz w:val="28"/>
          <w:szCs w:val="28"/>
        </w:rPr>
      </w:pPr>
      <w:r>
        <w:rPr>
          <w:rFonts w:hint="eastAsia" w:ascii="仿宋" w:hAnsi="仿宋" w:eastAsia="仿宋" w:cs="仿宋"/>
          <w:sz w:val="28"/>
          <w:szCs w:val="28"/>
        </w:rPr>
        <w:t>供货含配套控制柜及控制柜到设备间电缆和进出口法兰、螺栓及紧固件。</w:t>
      </w:r>
    </w:p>
    <w:p>
      <w:pPr>
        <w:rPr>
          <w:rFonts w:ascii="仿宋" w:hAnsi="仿宋" w:eastAsia="仿宋" w:cs="仿宋"/>
          <w:sz w:val="28"/>
          <w:szCs w:val="28"/>
        </w:rPr>
      </w:pPr>
      <w:r>
        <w:rPr>
          <w:rFonts w:hint="eastAsia" w:ascii="仿宋" w:hAnsi="仿宋" w:eastAsia="仿宋" w:cs="仿宋"/>
          <w:sz w:val="28"/>
          <w:szCs w:val="28"/>
        </w:rPr>
        <w:t>4、过滤器壳体材质不低于不锈钢316，滤芯材质不低于不锈钢316L，有效过滤面积≥4.4㎡，过滤精度5微米，可长久使用，无需更换滤芯，过滤效率95%以上。</w:t>
      </w:r>
    </w:p>
    <w:p>
      <w:pPr>
        <w:rPr>
          <w:rFonts w:ascii="仿宋" w:hAnsi="仿宋" w:eastAsia="仿宋" w:cs="仿宋"/>
          <w:sz w:val="28"/>
          <w:szCs w:val="28"/>
        </w:rPr>
      </w:pPr>
      <w:r>
        <w:rPr>
          <w:rFonts w:hint="eastAsia" w:ascii="仿宋" w:hAnsi="仿宋" w:eastAsia="仿宋" w:cs="仿宋"/>
          <w:sz w:val="28"/>
          <w:szCs w:val="28"/>
        </w:rPr>
        <w:t>5、过滤器要求采用多根滤筒的列管式，设计和装配，每根过滤筒可用单独进行自动反冲洗排污，而不影响其它过滤筒的正常运行。</w:t>
      </w:r>
    </w:p>
    <w:p>
      <w:pPr>
        <w:rPr>
          <w:rFonts w:ascii="仿宋" w:hAnsi="仿宋" w:eastAsia="仿宋" w:cs="仿宋"/>
          <w:sz w:val="28"/>
          <w:szCs w:val="28"/>
        </w:rPr>
      </w:pPr>
      <w:r>
        <w:rPr>
          <w:rFonts w:hint="eastAsia" w:ascii="仿宋" w:hAnsi="仿宋" w:eastAsia="仿宋" w:cs="仿宋"/>
          <w:sz w:val="28"/>
          <w:szCs w:val="28"/>
        </w:rPr>
        <w:t>6、过滤器的安装空间依现场现有工况限制，越小越好，尽量要控制在1米（长）x 1米（宽）x 2.1米（高）以内。</w:t>
      </w:r>
    </w:p>
    <w:p>
      <w:pPr>
        <w:rPr>
          <w:rFonts w:ascii="仿宋" w:hAnsi="仿宋" w:eastAsia="仿宋" w:cs="仿宋"/>
          <w:sz w:val="28"/>
          <w:szCs w:val="28"/>
        </w:rPr>
      </w:pPr>
      <w:r>
        <w:rPr>
          <w:rFonts w:hint="eastAsia" w:ascii="仿宋" w:hAnsi="仿宋" w:eastAsia="仿宋" w:cs="仿宋"/>
          <w:sz w:val="28"/>
          <w:szCs w:val="28"/>
        </w:rPr>
        <w:t>7、过滤器厂家要求为国外进口品牌，国际一流领先技术，整机原装进口（交货时要求提供原产地证明及报关单）。</w:t>
      </w:r>
    </w:p>
    <w:p>
      <w:pPr>
        <w:rPr>
          <w:rFonts w:ascii="仿宋" w:hAnsi="仿宋" w:eastAsia="仿宋" w:cs="仿宋"/>
          <w:sz w:val="28"/>
          <w:szCs w:val="28"/>
        </w:rPr>
      </w:pPr>
      <w:r>
        <w:rPr>
          <w:rFonts w:hint="eastAsia" w:ascii="仿宋" w:hAnsi="仿宋" w:eastAsia="仿宋" w:cs="仿宋"/>
          <w:sz w:val="28"/>
          <w:szCs w:val="28"/>
        </w:rPr>
        <w:t>8、在中国设有专业的技术支持、售后服务团队和备件仓库，可以满足在24小时内派售后服务工程师到达现场的售后服务能力。</w:t>
      </w:r>
    </w:p>
    <w:p>
      <w:pPr>
        <w:rPr>
          <w:rFonts w:ascii="仿宋" w:hAnsi="仿宋" w:eastAsia="仿宋" w:cs="仿宋"/>
          <w:sz w:val="28"/>
          <w:szCs w:val="28"/>
        </w:rPr>
      </w:pPr>
      <w:r>
        <w:rPr>
          <w:rFonts w:hint="eastAsia" w:ascii="仿宋" w:hAnsi="仿宋" w:eastAsia="仿宋" w:cs="仿宋"/>
          <w:sz w:val="28"/>
          <w:szCs w:val="28"/>
        </w:rPr>
        <w:t>9、提相关业绩的证明文件。</w:t>
      </w:r>
    </w:p>
    <w:p>
      <w:pPr>
        <w:adjustRightInd w:val="0"/>
        <w:snapToGrid w:val="0"/>
        <w:spacing w:line="360" w:lineRule="auto"/>
        <w:outlineLvl w:val="0"/>
        <w:rPr>
          <w:rFonts w:asciiTheme="minorEastAsia" w:hAnsiTheme="minorEastAsia" w:eastAsiaTheme="minorEastAsia"/>
          <w:b/>
          <w:bCs/>
          <w:sz w:val="32"/>
          <w:szCs w:val="32"/>
        </w:rPr>
      </w:pP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六、考核方案</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考核内容：5微米以上的颗粒杂质去除率为95%以上。</w:t>
      </w:r>
    </w:p>
    <w:p>
      <w:pPr>
        <w:adjustRightInd w:val="0"/>
        <w:snapToGrid w:val="0"/>
        <w:spacing w:line="360" w:lineRule="auto"/>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七、买方与卖方负责范围</w:t>
      </w:r>
    </w:p>
    <w:p>
      <w:pPr>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明确由买方负责以外的、其他系统必备的项目均由卖方负责。</w:t>
      </w:r>
    </w:p>
    <w:p>
      <w:pPr>
        <w:pStyle w:val="7"/>
        <w:tabs>
          <w:tab w:val="left" w:pos="525"/>
          <w:tab w:val="left" w:pos="3400"/>
        </w:tabs>
        <w:adjustRightInd w:val="0"/>
        <w:snapToGrid w:val="0"/>
        <w:spacing w:line="360"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1、买方负责范围</w:t>
      </w:r>
    </w:p>
    <w:p>
      <w:pPr>
        <w:pStyle w:val="7"/>
        <w:tabs>
          <w:tab w:val="left" w:pos="525"/>
          <w:tab w:val="left" w:pos="3400"/>
        </w:tabs>
        <w:adjustRightInd w:val="0"/>
        <w:snapToGrid w:val="0"/>
        <w:spacing w:line="360"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负责过滤器土建（混凝土）设计、施工。</w:t>
      </w:r>
    </w:p>
    <w:p>
      <w:pPr>
        <w:pStyle w:val="7"/>
        <w:tabs>
          <w:tab w:val="left" w:pos="525"/>
          <w:tab w:val="left" w:pos="3400"/>
        </w:tabs>
        <w:adjustRightInd w:val="0"/>
        <w:snapToGrid w:val="0"/>
        <w:spacing w:line="360"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负责将过滤器需要的能源介质接至主机附近1米处。</w:t>
      </w:r>
    </w:p>
    <w:p>
      <w:pPr>
        <w:pStyle w:val="7"/>
        <w:tabs>
          <w:tab w:val="left" w:pos="525"/>
          <w:tab w:val="left" w:pos="3400"/>
        </w:tabs>
        <w:adjustRightInd w:val="0"/>
        <w:snapToGrid w:val="0"/>
        <w:spacing w:line="360"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负责将过滤器需要的电源外线接至主机配套的电控箱进线口位置。</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负责过滤器布置场地的提供。</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2、卖方负责范围</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负责过滤器系统方案设计（不含土建混凝土部分）、供货、安装指导、调试、验收配合。</w:t>
      </w:r>
    </w:p>
    <w:p>
      <w:pPr>
        <w:adjustRightInd w:val="0"/>
        <w:snapToGrid w:val="0"/>
        <w:spacing w:line="360" w:lineRule="auto"/>
        <w:ind w:firstLine="560" w:firstLineChars="200"/>
        <w:rPr>
          <w:rFonts w:asciiTheme="minorEastAsia" w:hAnsiTheme="minorEastAsia" w:eastAsiaTheme="minorEastAsia"/>
          <w:b/>
          <w:sz w:val="28"/>
          <w:szCs w:val="28"/>
        </w:rPr>
      </w:pPr>
      <w:r>
        <w:rPr>
          <w:rFonts w:hint="eastAsia" w:asciiTheme="minorEastAsia" w:hAnsiTheme="minorEastAsia" w:eastAsiaTheme="minorEastAsia"/>
          <w:sz w:val="28"/>
          <w:szCs w:val="28"/>
        </w:rPr>
        <w:t>★ 负责提供给买方系统涉及的土建荷载条件、能源介质外线条件、电源外线等技术条件。</w:t>
      </w:r>
      <w:r>
        <w:rPr>
          <w:rFonts w:hint="eastAsia" w:asciiTheme="minorEastAsia" w:hAnsiTheme="minorEastAsia" w:eastAsiaTheme="minorEastAsia"/>
          <w:b/>
          <w:sz w:val="28"/>
          <w:szCs w:val="28"/>
        </w:rPr>
        <w:t>卖方合同签订后相关方案、图纸及技术条件一周内提交买方。</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负责整个系统的调试、试车试车和验收考核过程中消耗或损坏的备品备件、工具。</w:t>
      </w:r>
    </w:p>
    <w:p>
      <w:pPr>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★负责对所供货设备提供完整的、详细的技术资料，并对所提交技术资料的完整性和正确性负全责。</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hint="eastAsia" w:asciiTheme="minorEastAsia" w:hAnsiTheme="minorEastAsia" w:eastAsiaTheme="minorEastAsia"/>
          <w:b/>
          <w:bCs/>
          <w:sz w:val="32"/>
          <w:szCs w:val="32"/>
        </w:rPr>
        <w:t>对卖方的其他要求</w:t>
      </w:r>
    </w:p>
    <w:p>
      <w:pPr>
        <w:pStyle w:val="19"/>
        <w:numPr>
          <w:ilvl w:val="0"/>
          <w:numId w:val="3"/>
        </w:numPr>
        <w:spacing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在中华人民共和国工商管理部门注册，且具有中华人民共和国独立法人或</w:t>
      </w:r>
      <w:r>
        <w:rPr>
          <w:rFonts w:asciiTheme="minorEastAsia" w:hAnsiTheme="minorEastAsia" w:eastAsiaTheme="minorEastAsia"/>
          <w:sz w:val="28"/>
          <w:szCs w:val="28"/>
        </w:rPr>
        <w:t>分公司负</w:t>
      </w:r>
      <w:r>
        <w:rPr>
          <w:rFonts w:hint="eastAsia" w:asciiTheme="minorEastAsia" w:hAnsiTheme="minorEastAsia" w:eastAsiaTheme="minorEastAsia"/>
          <w:sz w:val="28"/>
          <w:szCs w:val="28"/>
        </w:rPr>
        <w:t>责人资格，且具有履行合同和履行民事责任的能力，营业执照处于有效期。</w:t>
      </w:r>
    </w:p>
    <w:p>
      <w:pPr>
        <w:pStyle w:val="7"/>
        <w:numPr>
          <w:ilvl w:val="0"/>
          <w:numId w:val="3"/>
        </w:numPr>
        <w:tabs>
          <w:tab w:val="left" w:pos="525"/>
          <w:tab w:val="left" w:pos="3400"/>
        </w:tabs>
        <w:adjustRightInd w:val="0"/>
        <w:snapToGrid w:val="0"/>
        <w:spacing w:line="360" w:lineRule="auto"/>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卖方需提供近两年来相关工况下的业绩证明文件。</w:t>
      </w:r>
    </w:p>
    <w:p>
      <w:pPr>
        <w:pStyle w:val="19"/>
        <w:numPr>
          <w:ilvl w:val="0"/>
          <w:numId w:val="3"/>
        </w:numPr>
        <w:spacing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具备承担本项目的资金及资信能力。</w:t>
      </w:r>
    </w:p>
    <w:p>
      <w:pPr>
        <w:pStyle w:val="19"/>
        <w:numPr>
          <w:ilvl w:val="0"/>
          <w:numId w:val="3"/>
        </w:numPr>
        <w:spacing w:line="360" w:lineRule="auto"/>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卖方能够按国家规定和买方要求开具增值税专用发票。</w:t>
      </w:r>
    </w:p>
    <w:p>
      <w:pPr>
        <w:spacing w:line="360" w:lineRule="auto"/>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6.投标提供资料包括以下内容：</w:t>
      </w:r>
    </w:p>
    <w:p>
      <w:pPr>
        <w:pStyle w:val="19"/>
        <w:numPr>
          <w:ilvl w:val="0"/>
          <w:numId w:val="4"/>
        </w:numPr>
        <w:spacing w:line="360" w:lineRule="auto"/>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技术方案详述；</w:t>
      </w:r>
    </w:p>
    <w:p>
      <w:pPr>
        <w:pStyle w:val="19"/>
        <w:numPr>
          <w:ilvl w:val="0"/>
          <w:numId w:val="4"/>
        </w:numPr>
        <w:spacing w:line="360" w:lineRule="auto"/>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流程图、平立面工艺布置图及其他附图；</w:t>
      </w:r>
    </w:p>
    <w:p>
      <w:pPr>
        <w:pStyle w:val="19"/>
        <w:numPr>
          <w:ilvl w:val="0"/>
          <w:numId w:val="4"/>
        </w:numPr>
        <w:spacing w:line="360" w:lineRule="auto"/>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主要设备配置、参数、供货厂家；</w:t>
      </w:r>
    </w:p>
    <w:p>
      <w:pPr>
        <w:pStyle w:val="19"/>
        <w:numPr>
          <w:ilvl w:val="0"/>
          <w:numId w:val="4"/>
        </w:numPr>
        <w:spacing w:line="360" w:lineRule="auto"/>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技术资料及交付进度；</w:t>
      </w:r>
    </w:p>
    <w:p>
      <w:pPr>
        <w:pStyle w:val="19"/>
        <w:numPr>
          <w:ilvl w:val="0"/>
          <w:numId w:val="4"/>
        </w:numPr>
        <w:spacing w:line="360" w:lineRule="auto"/>
        <w:ind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资质及相关业绩。</w:t>
      </w:r>
    </w:p>
    <w:p>
      <w:pPr>
        <w:pStyle w:val="15"/>
        <w:ind w:right="-439" w:firstLine="0" w:firstLineChars="0"/>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九、</w:t>
      </w:r>
      <w:r>
        <w:rPr>
          <w:rFonts w:hint="eastAsia" w:asciiTheme="minorEastAsia" w:hAnsiTheme="minorEastAsia" w:eastAsiaTheme="minorEastAsia"/>
          <w:b/>
          <w:bCs/>
          <w:sz w:val="32"/>
          <w:szCs w:val="32"/>
          <w:lang w:val="en-US" w:eastAsia="zh-CN"/>
        </w:rPr>
        <w:t>其他</w:t>
      </w:r>
    </w:p>
    <w:p>
      <w:pPr>
        <w:pStyle w:val="15"/>
        <w:ind w:right="-439" w:firstLine="560" w:firstLineChars="200"/>
        <w:rPr>
          <w:rFonts w:cs="Times New Roman" w:asciiTheme="minorEastAsia" w:hAnsiTheme="minorEastAsia" w:eastAsiaTheme="minorEastAsia"/>
          <w:sz w:val="28"/>
        </w:rPr>
      </w:pPr>
      <w:bookmarkStart w:id="4" w:name="_GoBack"/>
      <w:bookmarkEnd w:id="4"/>
      <w:r>
        <w:rPr>
          <w:rFonts w:hint="eastAsia" w:cs="Times New Roman" w:asciiTheme="minorEastAsia" w:hAnsiTheme="minorEastAsia" w:eastAsiaTheme="minorEastAsia"/>
          <w:sz w:val="28"/>
        </w:rPr>
        <w:t>方案为参考方案，卖方满足买方技术要求条件下可提供更优方案。</w:t>
      </w:r>
    </w:p>
    <w:sectPr>
      <w:footerReference r:id="rId4" w:type="default"/>
      <w:pgSz w:w="11906" w:h="16838"/>
      <w:pgMar w:top="1418" w:right="1418" w:bottom="1418" w:left="141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E00006FF" w:usb1="400004FF" w:usb2="00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432"/>
        </w:tabs>
        <w:ind w:left="432" w:hanging="432"/>
      </w:pPr>
      <w:rPr>
        <w:rFonts w:hint="default"/>
      </w:rPr>
    </w:lvl>
    <w:lvl w:ilvl="1" w:tentative="0">
      <w:start w:val="1"/>
      <w:numFmt w:val="decimal"/>
      <w:pStyle w:val="3"/>
      <w:lvlText w:val="%1.%2."/>
      <w:lvlJc w:val="left"/>
      <w:pPr>
        <w:tabs>
          <w:tab w:val="left" w:pos="935"/>
        </w:tabs>
        <w:ind w:left="935" w:hanging="57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
    <w:nsid w:val="0CFB250C"/>
    <w:multiLevelType w:val="multilevel"/>
    <w:tmpl w:val="0CFB250C"/>
    <w:lvl w:ilvl="0" w:tentative="0">
      <w:start w:val="1"/>
      <w:numFmt w:val="decimal"/>
      <w:lvlText w:val="%1."/>
      <w:lvlJc w:val="left"/>
      <w:pPr>
        <w:ind w:left="1211" w:hanging="36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1FD6196A"/>
    <w:multiLevelType w:val="multilevel"/>
    <w:tmpl w:val="1FD6196A"/>
    <w:lvl w:ilvl="0" w:tentative="0">
      <w:start w:val="1"/>
      <w:numFmt w:val="bullet"/>
      <w:lvlText w:val=""/>
      <w:lvlJc w:val="left"/>
      <w:pPr>
        <w:ind w:left="977" w:hanging="420"/>
      </w:pPr>
      <w:rPr>
        <w:rFonts w:hint="default" w:ascii="Wingdings" w:hAnsi="Wingdings"/>
      </w:rPr>
    </w:lvl>
    <w:lvl w:ilvl="1" w:tentative="0">
      <w:start w:val="1"/>
      <w:numFmt w:val="bullet"/>
      <w:lvlText w:val=""/>
      <w:lvlJc w:val="left"/>
      <w:pPr>
        <w:ind w:left="1397" w:hanging="420"/>
      </w:pPr>
      <w:rPr>
        <w:rFonts w:hint="default" w:ascii="Wingdings" w:hAnsi="Wingdings"/>
      </w:rPr>
    </w:lvl>
    <w:lvl w:ilvl="2" w:tentative="0">
      <w:start w:val="1"/>
      <w:numFmt w:val="bullet"/>
      <w:lvlText w:val=""/>
      <w:lvlJc w:val="left"/>
      <w:pPr>
        <w:ind w:left="1817" w:hanging="420"/>
      </w:pPr>
      <w:rPr>
        <w:rFonts w:hint="default" w:ascii="Wingdings" w:hAnsi="Wingdings"/>
      </w:rPr>
    </w:lvl>
    <w:lvl w:ilvl="3" w:tentative="0">
      <w:start w:val="1"/>
      <w:numFmt w:val="bullet"/>
      <w:lvlText w:val=""/>
      <w:lvlJc w:val="left"/>
      <w:pPr>
        <w:ind w:left="2237" w:hanging="420"/>
      </w:pPr>
      <w:rPr>
        <w:rFonts w:hint="default" w:ascii="Wingdings" w:hAnsi="Wingdings"/>
      </w:rPr>
    </w:lvl>
    <w:lvl w:ilvl="4" w:tentative="0">
      <w:start w:val="1"/>
      <w:numFmt w:val="bullet"/>
      <w:lvlText w:val=""/>
      <w:lvlJc w:val="left"/>
      <w:pPr>
        <w:ind w:left="2657" w:hanging="420"/>
      </w:pPr>
      <w:rPr>
        <w:rFonts w:hint="default" w:ascii="Wingdings" w:hAnsi="Wingdings"/>
      </w:rPr>
    </w:lvl>
    <w:lvl w:ilvl="5" w:tentative="0">
      <w:start w:val="1"/>
      <w:numFmt w:val="bullet"/>
      <w:lvlText w:val=""/>
      <w:lvlJc w:val="left"/>
      <w:pPr>
        <w:ind w:left="3077" w:hanging="420"/>
      </w:pPr>
      <w:rPr>
        <w:rFonts w:hint="default" w:ascii="Wingdings" w:hAnsi="Wingdings"/>
      </w:rPr>
    </w:lvl>
    <w:lvl w:ilvl="6" w:tentative="0">
      <w:start w:val="1"/>
      <w:numFmt w:val="bullet"/>
      <w:lvlText w:val=""/>
      <w:lvlJc w:val="left"/>
      <w:pPr>
        <w:ind w:left="3497" w:hanging="420"/>
      </w:pPr>
      <w:rPr>
        <w:rFonts w:hint="default" w:ascii="Wingdings" w:hAnsi="Wingdings"/>
      </w:rPr>
    </w:lvl>
    <w:lvl w:ilvl="7" w:tentative="0">
      <w:start w:val="1"/>
      <w:numFmt w:val="bullet"/>
      <w:lvlText w:val=""/>
      <w:lvlJc w:val="left"/>
      <w:pPr>
        <w:ind w:left="3917" w:hanging="420"/>
      </w:pPr>
      <w:rPr>
        <w:rFonts w:hint="default" w:ascii="Wingdings" w:hAnsi="Wingdings"/>
      </w:rPr>
    </w:lvl>
    <w:lvl w:ilvl="8" w:tentative="0">
      <w:start w:val="1"/>
      <w:numFmt w:val="bullet"/>
      <w:lvlText w:val=""/>
      <w:lvlJc w:val="left"/>
      <w:pPr>
        <w:ind w:left="4337" w:hanging="420"/>
      </w:pPr>
      <w:rPr>
        <w:rFonts w:hint="default" w:ascii="Wingdings" w:hAnsi="Wingdings"/>
      </w:rPr>
    </w:lvl>
  </w:abstractNum>
  <w:abstractNum w:abstractNumId="3">
    <w:nsid w:val="5F2E1E6E"/>
    <w:multiLevelType w:val="singleLevel"/>
    <w:tmpl w:val="5F2E1E6E"/>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73"/>
    <w:rsid w:val="0007271F"/>
    <w:rsid w:val="000727AC"/>
    <w:rsid w:val="0007471B"/>
    <w:rsid w:val="00080559"/>
    <w:rsid w:val="000858F1"/>
    <w:rsid w:val="000A2C23"/>
    <w:rsid w:val="000D4078"/>
    <w:rsid w:val="000F4EF1"/>
    <w:rsid w:val="00100B56"/>
    <w:rsid w:val="00102F50"/>
    <w:rsid w:val="00111C98"/>
    <w:rsid w:val="00122230"/>
    <w:rsid w:val="0016166C"/>
    <w:rsid w:val="00172A27"/>
    <w:rsid w:val="00175BE5"/>
    <w:rsid w:val="001846AD"/>
    <w:rsid w:val="00197731"/>
    <w:rsid w:val="001B27E6"/>
    <w:rsid w:val="001C3027"/>
    <w:rsid w:val="001C5E2B"/>
    <w:rsid w:val="001C75C9"/>
    <w:rsid w:val="001D611F"/>
    <w:rsid w:val="001E2902"/>
    <w:rsid w:val="001F27B5"/>
    <w:rsid w:val="001F5B86"/>
    <w:rsid w:val="00223603"/>
    <w:rsid w:val="00235264"/>
    <w:rsid w:val="00236440"/>
    <w:rsid w:val="00252162"/>
    <w:rsid w:val="002573C7"/>
    <w:rsid w:val="00277E62"/>
    <w:rsid w:val="00280FA9"/>
    <w:rsid w:val="002826CC"/>
    <w:rsid w:val="002C06E1"/>
    <w:rsid w:val="002C25DD"/>
    <w:rsid w:val="002C59A2"/>
    <w:rsid w:val="002E0A4E"/>
    <w:rsid w:val="002E22D2"/>
    <w:rsid w:val="00304F5C"/>
    <w:rsid w:val="00312158"/>
    <w:rsid w:val="00340CF1"/>
    <w:rsid w:val="0034363B"/>
    <w:rsid w:val="00350BD7"/>
    <w:rsid w:val="00353282"/>
    <w:rsid w:val="003549E1"/>
    <w:rsid w:val="00365BDD"/>
    <w:rsid w:val="0037748A"/>
    <w:rsid w:val="00382090"/>
    <w:rsid w:val="00385A39"/>
    <w:rsid w:val="00386AE6"/>
    <w:rsid w:val="003879E3"/>
    <w:rsid w:val="003943EF"/>
    <w:rsid w:val="003A2E4D"/>
    <w:rsid w:val="003D2F36"/>
    <w:rsid w:val="003F0E9B"/>
    <w:rsid w:val="003F5F42"/>
    <w:rsid w:val="00406A53"/>
    <w:rsid w:val="00421754"/>
    <w:rsid w:val="00445C00"/>
    <w:rsid w:val="0045468F"/>
    <w:rsid w:val="0046595D"/>
    <w:rsid w:val="00466C97"/>
    <w:rsid w:val="00467D5F"/>
    <w:rsid w:val="00482C76"/>
    <w:rsid w:val="004D74D7"/>
    <w:rsid w:val="004E0A10"/>
    <w:rsid w:val="004E124C"/>
    <w:rsid w:val="00530D53"/>
    <w:rsid w:val="00532085"/>
    <w:rsid w:val="005348D6"/>
    <w:rsid w:val="005358C6"/>
    <w:rsid w:val="00555B6D"/>
    <w:rsid w:val="00583CA6"/>
    <w:rsid w:val="00585159"/>
    <w:rsid w:val="0058704F"/>
    <w:rsid w:val="00590059"/>
    <w:rsid w:val="005A378F"/>
    <w:rsid w:val="005A5AF9"/>
    <w:rsid w:val="005B2669"/>
    <w:rsid w:val="005B38AC"/>
    <w:rsid w:val="005F6621"/>
    <w:rsid w:val="00616361"/>
    <w:rsid w:val="00616C97"/>
    <w:rsid w:val="00632A2E"/>
    <w:rsid w:val="00640040"/>
    <w:rsid w:val="00641EA2"/>
    <w:rsid w:val="00670E13"/>
    <w:rsid w:val="006932C2"/>
    <w:rsid w:val="006D72EA"/>
    <w:rsid w:val="006E5B09"/>
    <w:rsid w:val="006E7A98"/>
    <w:rsid w:val="0070716C"/>
    <w:rsid w:val="00707CC1"/>
    <w:rsid w:val="007137B2"/>
    <w:rsid w:val="00715263"/>
    <w:rsid w:val="00715D79"/>
    <w:rsid w:val="00726F29"/>
    <w:rsid w:val="00737AED"/>
    <w:rsid w:val="00754C4F"/>
    <w:rsid w:val="00791B33"/>
    <w:rsid w:val="00793E1A"/>
    <w:rsid w:val="007A198B"/>
    <w:rsid w:val="007A2AA8"/>
    <w:rsid w:val="007A329C"/>
    <w:rsid w:val="007A5A49"/>
    <w:rsid w:val="007C513B"/>
    <w:rsid w:val="007C6039"/>
    <w:rsid w:val="007D1137"/>
    <w:rsid w:val="007D6AF9"/>
    <w:rsid w:val="00801D09"/>
    <w:rsid w:val="008048B2"/>
    <w:rsid w:val="00821BE9"/>
    <w:rsid w:val="00823AAF"/>
    <w:rsid w:val="00823B19"/>
    <w:rsid w:val="00861642"/>
    <w:rsid w:val="00865BD2"/>
    <w:rsid w:val="00881F1B"/>
    <w:rsid w:val="00887023"/>
    <w:rsid w:val="008A0C3B"/>
    <w:rsid w:val="008A1C09"/>
    <w:rsid w:val="008B46C8"/>
    <w:rsid w:val="008D36A7"/>
    <w:rsid w:val="009137A8"/>
    <w:rsid w:val="009145CF"/>
    <w:rsid w:val="009236C5"/>
    <w:rsid w:val="00930535"/>
    <w:rsid w:val="00941F5C"/>
    <w:rsid w:val="0095415B"/>
    <w:rsid w:val="00960C56"/>
    <w:rsid w:val="00980DDB"/>
    <w:rsid w:val="0098166D"/>
    <w:rsid w:val="00991C5F"/>
    <w:rsid w:val="009954E2"/>
    <w:rsid w:val="009A4DAB"/>
    <w:rsid w:val="009A6381"/>
    <w:rsid w:val="009B25BB"/>
    <w:rsid w:val="009B2EE5"/>
    <w:rsid w:val="00A029A3"/>
    <w:rsid w:val="00A20634"/>
    <w:rsid w:val="00A21DE3"/>
    <w:rsid w:val="00A22276"/>
    <w:rsid w:val="00A35A09"/>
    <w:rsid w:val="00A644E9"/>
    <w:rsid w:val="00A8342F"/>
    <w:rsid w:val="00A965B4"/>
    <w:rsid w:val="00AA0C55"/>
    <w:rsid w:val="00AA2E3A"/>
    <w:rsid w:val="00AA586A"/>
    <w:rsid w:val="00AC0A96"/>
    <w:rsid w:val="00AC25DE"/>
    <w:rsid w:val="00AE5C4F"/>
    <w:rsid w:val="00AE73E2"/>
    <w:rsid w:val="00AF108D"/>
    <w:rsid w:val="00B01A44"/>
    <w:rsid w:val="00B1121D"/>
    <w:rsid w:val="00B117C5"/>
    <w:rsid w:val="00B261C4"/>
    <w:rsid w:val="00B401FD"/>
    <w:rsid w:val="00B41CAB"/>
    <w:rsid w:val="00B47164"/>
    <w:rsid w:val="00B52C33"/>
    <w:rsid w:val="00B61224"/>
    <w:rsid w:val="00B66FE1"/>
    <w:rsid w:val="00B71B0F"/>
    <w:rsid w:val="00B76945"/>
    <w:rsid w:val="00B828A6"/>
    <w:rsid w:val="00B9701F"/>
    <w:rsid w:val="00BC5454"/>
    <w:rsid w:val="00BD6C32"/>
    <w:rsid w:val="00BE3CEC"/>
    <w:rsid w:val="00BF059D"/>
    <w:rsid w:val="00BF2680"/>
    <w:rsid w:val="00C21813"/>
    <w:rsid w:val="00C31916"/>
    <w:rsid w:val="00C507BC"/>
    <w:rsid w:val="00C60B87"/>
    <w:rsid w:val="00C62BD9"/>
    <w:rsid w:val="00C95A1B"/>
    <w:rsid w:val="00D0226F"/>
    <w:rsid w:val="00D048DF"/>
    <w:rsid w:val="00D048FC"/>
    <w:rsid w:val="00D119F4"/>
    <w:rsid w:val="00D16C47"/>
    <w:rsid w:val="00D37F42"/>
    <w:rsid w:val="00D5274C"/>
    <w:rsid w:val="00D87D3B"/>
    <w:rsid w:val="00DB6058"/>
    <w:rsid w:val="00DD19A5"/>
    <w:rsid w:val="00DD2EEB"/>
    <w:rsid w:val="00DF08B7"/>
    <w:rsid w:val="00DF303D"/>
    <w:rsid w:val="00E13467"/>
    <w:rsid w:val="00E221B8"/>
    <w:rsid w:val="00E22F69"/>
    <w:rsid w:val="00E250D6"/>
    <w:rsid w:val="00E27665"/>
    <w:rsid w:val="00E6089C"/>
    <w:rsid w:val="00E66A35"/>
    <w:rsid w:val="00E76A6D"/>
    <w:rsid w:val="00E963AA"/>
    <w:rsid w:val="00EB7A74"/>
    <w:rsid w:val="00EC230C"/>
    <w:rsid w:val="00EC4A28"/>
    <w:rsid w:val="00ED02E7"/>
    <w:rsid w:val="00ED6E16"/>
    <w:rsid w:val="00EE0761"/>
    <w:rsid w:val="00EE13CC"/>
    <w:rsid w:val="00EE20A5"/>
    <w:rsid w:val="00EE623E"/>
    <w:rsid w:val="00EF6512"/>
    <w:rsid w:val="00F06DBB"/>
    <w:rsid w:val="00F23456"/>
    <w:rsid w:val="00F354BF"/>
    <w:rsid w:val="00F4523A"/>
    <w:rsid w:val="00F5493E"/>
    <w:rsid w:val="00F82525"/>
    <w:rsid w:val="00FA6339"/>
    <w:rsid w:val="00FA7D1F"/>
    <w:rsid w:val="00FC5091"/>
    <w:rsid w:val="00FD5659"/>
    <w:rsid w:val="00FE0614"/>
    <w:rsid w:val="00FE1BC9"/>
    <w:rsid w:val="00FF03CB"/>
    <w:rsid w:val="01257604"/>
    <w:rsid w:val="02484469"/>
    <w:rsid w:val="03723392"/>
    <w:rsid w:val="040320C5"/>
    <w:rsid w:val="04F37B9E"/>
    <w:rsid w:val="051B468A"/>
    <w:rsid w:val="05854E33"/>
    <w:rsid w:val="05B80280"/>
    <w:rsid w:val="05C6704F"/>
    <w:rsid w:val="05E44C89"/>
    <w:rsid w:val="064176F1"/>
    <w:rsid w:val="07C00CC4"/>
    <w:rsid w:val="07DB0ECF"/>
    <w:rsid w:val="086A1B63"/>
    <w:rsid w:val="097803D2"/>
    <w:rsid w:val="09C23D72"/>
    <w:rsid w:val="0A2F49C7"/>
    <w:rsid w:val="0A5A344F"/>
    <w:rsid w:val="0BAD57C0"/>
    <w:rsid w:val="0CAC6B8F"/>
    <w:rsid w:val="0EB457E7"/>
    <w:rsid w:val="0F12453A"/>
    <w:rsid w:val="0F587FA2"/>
    <w:rsid w:val="0F62239C"/>
    <w:rsid w:val="118E6BEA"/>
    <w:rsid w:val="137F6DB6"/>
    <w:rsid w:val="14E61385"/>
    <w:rsid w:val="15A230D5"/>
    <w:rsid w:val="17C10368"/>
    <w:rsid w:val="1A654004"/>
    <w:rsid w:val="1A810D0F"/>
    <w:rsid w:val="1AB447F0"/>
    <w:rsid w:val="1B247689"/>
    <w:rsid w:val="1B692DDA"/>
    <w:rsid w:val="1D855E15"/>
    <w:rsid w:val="1DB91E41"/>
    <w:rsid w:val="1FA64F6B"/>
    <w:rsid w:val="202E3F4C"/>
    <w:rsid w:val="2223727B"/>
    <w:rsid w:val="22CE79E2"/>
    <w:rsid w:val="23083DDD"/>
    <w:rsid w:val="23651A55"/>
    <w:rsid w:val="24465C8B"/>
    <w:rsid w:val="24557228"/>
    <w:rsid w:val="249D7983"/>
    <w:rsid w:val="24A01767"/>
    <w:rsid w:val="24AF3C14"/>
    <w:rsid w:val="25765880"/>
    <w:rsid w:val="260B12BA"/>
    <w:rsid w:val="264D2492"/>
    <w:rsid w:val="29C9189B"/>
    <w:rsid w:val="2AAB6C1C"/>
    <w:rsid w:val="2C9253C5"/>
    <w:rsid w:val="2CE331AF"/>
    <w:rsid w:val="2F7E0BCE"/>
    <w:rsid w:val="30CC76B4"/>
    <w:rsid w:val="32884798"/>
    <w:rsid w:val="32E16C38"/>
    <w:rsid w:val="34FB4FE2"/>
    <w:rsid w:val="350A642C"/>
    <w:rsid w:val="366470A5"/>
    <w:rsid w:val="37252147"/>
    <w:rsid w:val="3A0F309E"/>
    <w:rsid w:val="3B137F58"/>
    <w:rsid w:val="3B4104BB"/>
    <w:rsid w:val="4225557E"/>
    <w:rsid w:val="422D04D6"/>
    <w:rsid w:val="424272D1"/>
    <w:rsid w:val="42D53CB8"/>
    <w:rsid w:val="43983880"/>
    <w:rsid w:val="440203DC"/>
    <w:rsid w:val="444C135E"/>
    <w:rsid w:val="44580F30"/>
    <w:rsid w:val="448B1367"/>
    <w:rsid w:val="44964B63"/>
    <w:rsid w:val="460C2AF5"/>
    <w:rsid w:val="467A5DEC"/>
    <w:rsid w:val="4707797B"/>
    <w:rsid w:val="476C3DFE"/>
    <w:rsid w:val="478814A5"/>
    <w:rsid w:val="48953EC4"/>
    <w:rsid w:val="4BA5775F"/>
    <w:rsid w:val="4C961257"/>
    <w:rsid w:val="4D712523"/>
    <w:rsid w:val="4EF470CA"/>
    <w:rsid w:val="4F067742"/>
    <w:rsid w:val="51AB7E83"/>
    <w:rsid w:val="53043063"/>
    <w:rsid w:val="531D0C94"/>
    <w:rsid w:val="53E5639A"/>
    <w:rsid w:val="54B726DE"/>
    <w:rsid w:val="550C1DEB"/>
    <w:rsid w:val="56F67FAB"/>
    <w:rsid w:val="57E1178E"/>
    <w:rsid w:val="5A6142EF"/>
    <w:rsid w:val="5A8067D9"/>
    <w:rsid w:val="5B78083F"/>
    <w:rsid w:val="5C585AA0"/>
    <w:rsid w:val="5DD70FF2"/>
    <w:rsid w:val="5E7C0256"/>
    <w:rsid w:val="608F38A0"/>
    <w:rsid w:val="62AD6C79"/>
    <w:rsid w:val="62C84C40"/>
    <w:rsid w:val="659702CB"/>
    <w:rsid w:val="66D470DC"/>
    <w:rsid w:val="671F6378"/>
    <w:rsid w:val="69603252"/>
    <w:rsid w:val="69DA7DC7"/>
    <w:rsid w:val="6B453405"/>
    <w:rsid w:val="6B87112A"/>
    <w:rsid w:val="6C8A5102"/>
    <w:rsid w:val="6CE62D0B"/>
    <w:rsid w:val="6E545426"/>
    <w:rsid w:val="6EC275F1"/>
    <w:rsid w:val="6F70454C"/>
    <w:rsid w:val="6FA53E70"/>
    <w:rsid w:val="70E009ED"/>
    <w:rsid w:val="720532C4"/>
    <w:rsid w:val="74002FB6"/>
    <w:rsid w:val="74841863"/>
    <w:rsid w:val="75966F05"/>
    <w:rsid w:val="75B937FE"/>
    <w:rsid w:val="79512F6E"/>
    <w:rsid w:val="7A6E4F25"/>
    <w:rsid w:val="7B274DF0"/>
    <w:rsid w:val="7B3255A2"/>
    <w:rsid w:val="7B806F14"/>
    <w:rsid w:val="7D365CA7"/>
    <w:rsid w:val="7DE3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00"/>
      <w:outlineLvl w:val="2"/>
    </w:pPr>
    <w:rPr>
      <w:rFonts w:ascii="Cambria" w:hAnsi="Cambria"/>
      <w:b/>
      <w:bCs/>
      <w:sz w:val="2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0"/>
    <w:qFormat/>
    <w:uiPriority w:val="0"/>
    <w:pPr>
      <w:spacing w:line="360" w:lineRule="auto"/>
      <w:ind w:firstLine="420"/>
    </w:pPr>
    <w:rPr>
      <w:rFonts w:ascii="宋体"/>
      <w:szCs w:val="20"/>
    </w:rPr>
  </w:style>
  <w:style w:type="paragraph" w:styleId="6">
    <w:name w:val="toa heading"/>
    <w:basedOn w:val="1"/>
    <w:next w:val="1"/>
    <w:qFormat/>
    <w:uiPriority w:val="0"/>
    <w:pPr>
      <w:adjustRightInd w:val="0"/>
      <w:spacing w:before="120" w:line="398" w:lineRule="atLeast"/>
      <w:textAlignment w:val="baseline"/>
    </w:pPr>
    <w:rPr>
      <w:rFonts w:ascii="Arial" w:hAnsi="Arial" w:cs="Arial"/>
      <w:kern w:val="0"/>
    </w:rPr>
  </w:style>
  <w:style w:type="paragraph" w:styleId="7">
    <w:name w:val="Body Text Indent"/>
    <w:basedOn w:val="1"/>
    <w:qFormat/>
    <w:uiPriority w:val="0"/>
    <w:pPr>
      <w:ind w:left="720"/>
    </w:pPr>
  </w:style>
  <w:style w:type="paragraph" w:styleId="8">
    <w:name w:val="Balloon Text"/>
    <w:basedOn w:val="1"/>
    <w:link w:val="22"/>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qFormat/>
    <w:uiPriority w:val="0"/>
    <w:pPr>
      <w:adjustRightInd w:val="0"/>
      <w:spacing w:line="360" w:lineRule="auto"/>
      <w:ind w:firstLine="454"/>
      <w:jc w:val="center"/>
      <w:textAlignment w:val="baseline"/>
    </w:pPr>
    <w:rPr>
      <w:rFonts w:ascii="楷体_GB2312" w:eastAsia="楷体_GB2312"/>
      <w:sz w:val="44"/>
      <w:szCs w:val="44"/>
    </w:rPr>
  </w:style>
  <w:style w:type="paragraph" w:customStyle="1" w:styleId="14">
    <w:name w:val="正文文字"/>
    <w:basedOn w:val="1"/>
    <w:link w:val="21"/>
    <w:qFormat/>
    <w:uiPriority w:val="0"/>
    <w:pPr>
      <w:spacing w:line="500" w:lineRule="exact"/>
      <w:ind w:firstLine="1040" w:firstLineChars="200"/>
    </w:pPr>
    <w:rPr>
      <w:sz w:val="28"/>
      <w:szCs w:val="22"/>
    </w:rPr>
  </w:style>
  <w:style w:type="paragraph" w:customStyle="1" w:styleId="15">
    <w:name w:val="样式 行距: 1.5 倍行距"/>
    <w:basedOn w:val="1"/>
    <w:qFormat/>
    <w:uiPriority w:val="0"/>
    <w:pPr>
      <w:spacing w:line="360" w:lineRule="auto"/>
      <w:ind w:right="-512" w:rightChars="-183" w:firstLine="549" w:firstLineChars="196"/>
    </w:pPr>
    <w:rPr>
      <w:rFonts w:cs="宋体"/>
      <w:sz w:val="21"/>
      <w:szCs w:val="28"/>
    </w:rPr>
  </w:style>
  <w:style w:type="paragraph" w:customStyle="1" w:styleId="16">
    <w:name w:val="正文文本缩进1"/>
    <w:basedOn w:val="1"/>
    <w:qFormat/>
    <w:uiPriority w:val="0"/>
    <w:pPr>
      <w:tabs>
        <w:tab w:val="left" w:pos="665"/>
      </w:tabs>
      <w:snapToGrid w:val="0"/>
      <w:spacing w:line="360" w:lineRule="auto"/>
      <w:ind w:firstLine="540"/>
    </w:pPr>
    <w:rPr>
      <w:rFonts w:ascii="仿宋体" w:eastAsia="仿宋体"/>
      <w:sz w:val="28"/>
      <w:szCs w:val="28"/>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18">
    <w:name w:val="正文 New"/>
    <w:qFormat/>
    <w:uiPriority w:val="0"/>
    <w:pPr>
      <w:widowControl w:val="0"/>
      <w:suppressAutoHyphens/>
      <w:jc w:val="both"/>
    </w:pPr>
    <w:rPr>
      <w:rFonts w:ascii="Times New Roman" w:hAnsi="Times New Roman" w:eastAsia="宋体" w:cs="Times New Roman"/>
      <w:lang w:val="en-US" w:eastAsia="zh-CN" w:bidi="ar-SA"/>
    </w:rPr>
  </w:style>
  <w:style w:type="paragraph" w:styleId="19">
    <w:name w:val="List Paragraph"/>
    <w:basedOn w:val="1"/>
    <w:qFormat/>
    <w:uiPriority w:val="34"/>
    <w:pPr>
      <w:ind w:firstLine="420" w:firstLineChars="200"/>
    </w:pPr>
  </w:style>
  <w:style w:type="character" w:customStyle="1" w:styleId="20">
    <w:name w:val="正文缩进 Char"/>
    <w:link w:val="5"/>
    <w:qFormat/>
    <w:uiPriority w:val="0"/>
    <w:rPr>
      <w:rFonts w:ascii="宋体"/>
      <w:kern w:val="2"/>
      <w:sz w:val="24"/>
    </w:rPr>
  </w:style>
  <w:style w:type="character" w:customStyle="1" w:styleId="21">
    <w:name w:val="正文文字 Char Char"/>
    <w:link w:val="14"/>
    <w:qFormat/>
    <w:uiPriority w:val="0"/>
    <w:rPr>
      <w:kern w:val="2"/>
      <w:sz w:val="28"/>
      <w:szCs w:val="22"/>
    </w:rPr>
  </w:style>
  <w:style w:type="character" w:customStyle="1" w:styleId="22">
    <w:name w:val="批注框文本 Char"/>
    <w:basedOn w:val="13"/>
    <w:link w:val="8"/>
    <w:uiPriority w:val="0"/>
    <w:rPr>
      <w:kern w:val="2"/>
      <w:sz w:val="18"/>
      <w:szCs w:val="18"/>
    </w:rPr>
  </w:style>
  <w:style w:type="character" w:customStyle="1" w:styleId="23">
    <w:name w:val="标题 1 Char"/>
    <w:basedOn w:val="13"/>
    <w:link w:val="2"/>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Words>
  <Characters>1863</Characters>
  <Lines>15</Lines>
  <Paragraphs>4</Paragraphs>
  <TotalTime>12174</TotalTime>
  <ScaleCrop>false</ScaleCrop>
  <LinksUpToDate>false</LinksUpToDate>
  <CharactersWithSpaces>2185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2020-12-14T08:12:00Z</dcterms:created>
  <dc:creator>Administrator</dc:creator>
  <cp:lastModifiedBy>Administrator</cp:lastModifiedBy>
  <cp:lastPrinted>2021-06-25T09:03:00Z</cp:lastPrinted>
  <dcterms:modified xsi:type="dcterms:W3CDTF">2021-12-30T06:55:31Z</dcterms:modified>
  <dc:title>芜湖新兴铸管有限责任公司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30D7917DFC08403ABA12F863C2BF36AF</vt:lpwstr>
  </property>
</Properties>
</file>