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cs="Times New Roman"/>
          <w:b/>
          <w:sz w:val="44"/>
          <w:szCs w:val="44"/>
          <w:lang w:eastAsia="zh-CN"/>
        </w:rPr>
      </w:pPr>
      <w:bookmarkStart w:id="0" w:name="_Toc318376965"/>
    </w:p>
    <w:p>
      <w:pPr>
        <w:adjustRightInd w:val="0"/>
        <w:snapToGrid w:val="0"/>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lang w:eastAsia="zh-CN"/>
        </w:rPr>
        <w:t>芜湖新兴铸管</w:t>
      </w:r>
      <w:r>
        <w:rPr>
          <w:rFonts w:hint="default" w:ascii="Times New Roman" w:hAnsi="Times New Roman" w:cs="Times New Roman"/>
          <w:b/>
          <w:sz w:val="44"/>
          <w:szCs w:val="44"/>
        </w:rPr>
        <w:t>有限</w:t>
      </w:r>
      <w:r>
        <w:rPr>
          <w:rFonts w:hint="default" w:ascii="Times New Roman" w:hAnsi="Times New Roman" w:cs="Times New Roman"/>
          <w:b/>
          <w:sz w:val="44"/>
          <w:szCs w:val="44"/>
          <w:lang w:eastAsia="zh-CN"/>
        </w:rPr>
        <w:t>责任</w:t>
      </w:r>
      <w:r>
        <w:rPr>
          <w:rFonts w:hint="default" w:ascii="Times New Roman" w:hAnsi="Times New Roman" w:cs="Times New Roman"/>
          <w:b/>
          <w:sz w:val="44"/>
          <w:szCs w:val="44"/>
        </w:rPr>
        <w:t>公司</w:t>
      </w:r>
    </w:p>
    <w:p>
      <w:pPr>
        <w:adjustRightInd w:val="0"/>
        <w:snapToGrid w:val="0"/>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lang w:eastAsia="zh-CN"/>
        </w:rPr>
        <w:t>铁前事业部</w:t>
      </w:r>
      <w:r>
        <w:rPr>
          <w:rFonts w:hint="default" w:ascii="Times New Roman" w:hAnsi="Times New Roman" w:cs="Times New Roman"/>
          <w:b/>
          <w:sz w:val="44"/>
          <w:szCs w:val="44"/>
          <w:lang w:eastAsia="zh-CN"/>
        </w:rPr>
        <w:t>照明</w:t>
      </w:r>
      <w:r>
        <w:rPr>
          <w:rFonts w:hint="default" w:ascii="Times New Roman" w:hAnsi="Times New Roman" w:cs="Times New Roman"/>
          <w:b/>
          <w:sz w:val="44"/>
          <w:szCs w:val="44"/>
          <w:lang w:eastAsia="zh-CN"/>
        </w:rPr>
        <w:t>集中改造</w:t>
      </w:r>
      <w:r>
        <w:rPr>
          <w:rFonts w:hint="default" w:ascii="Times New Roman" w:hAnsi="Times New Roman" w:cs="Times New Roman"/>
          <w:b/>
          <w:sz w:val="44"/>
          <w:szCs w:val="44"/>
        </w:rPr>
        <w:t>项目</w:t>
      </w:r>
    </w:p>
    <w:p>
      <w:pPr>
        <w:adjustRightInd w:val="0"/>
        <w:snapToGrid w:val="0"/>
        <w:spacing w:line="360" w:lineRule="auto"/>
        <w:jc w:val="center"/>
        <w:rPr>
          <w:rFonts w:hint="default" w:ascii="Times New Roman" w:hAnsi="Times New Roman" w:cs="Times New Roman"/>
          <w:b/>
          <w:sz w:val="44"/>
          <w:szCs w:val="44"/>
        </w:rPr>
      </w:pPr>
    </w:p>
    <w:p>
      <w:pPr>
        <w:adjustRightInd w:val="0"/>
        <w:snapToGrid w:val="0"/>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技</w:t>
      </w:r>
    </w:p>
    <w:p>
      <w:pPr>
        <w:adjustRightInd w:val="0"/>
        <w:snapToGrid w:val="0"/>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术</w:t>
      </w:r>
    </w:p>
    <w:p>
      <w:pPr>
        <w:adjustRightInd w:val="0"/>
        <w:snapToGrid w:val="0"/>
        <w:spacing w:line="360" w:lineRule="auto"/>
        <w:jc w:val="center"/>
        <w:rPr>
          <w:rFonts w:hint="default" w:ascii="Times New Roman" w:hAnsi="Times New Roman" w:cs="Times New Roman"/>
          <w:b/>
          <w:sz w:val="44"/>
          <w:szCs w:val="44"/>
          <w:lang w:eastAsia="zh-CN"/>
        </w:rPr>
      </w:pPr>
      <w:r>
        <w:rPr>
          <w:rFonts w:hint="default" w:ascii="Times New Roman" w:hAnsi="Times New Roman" w:cs="Times New Roman"/>
          <w:b/>
          <w:sz w:val="44"/>
          <w:szCs w:val="44"/>
          <w:lang w:eastAsia="zh-CN"/>
        </w:rPr>
        <w:t>规</w:t>
      </w:r>
    </w:p>
    <w:p>
      <w:pPr>
        <w:adjustRightInd w:val="0"/>
        <w:snapToGrid w:val="0"/>
        <w:spacing w:line="360" w:lineRule="auto"/>
        <w:jc w:val="center"/>
        <w:rPr>
          <w:rFonts w:hint="default" w:ascii="Times New Roman" w:hAnsi="Times New Roman" w:cs="Times New Roman" w:eastAsiaTheme="minorEastAsia"/>
          <w:b/>
          <w:sz w:val="44"/>
          <w:szCs w:val="44"/>
          <w:lang w:eastAsia="zh-CN"/>
        </w:rPr>
      </w:pPr>
      <w:r>
        <w:rPr>
          <w:rFonts w:hint="default" w:ascii="Times New Roman" w:hAnsi="Times New Roman" w:cs="Times New Roman"/>
          <w:b/>
          <w:sz w:val="44"/>
          <w:szCs w:val="44"/>
          <w:lang w:eastAsia="zh-CN"/>
        </w:rPr>
        <w:t>格</w:t>
      </w:r>
    </w:p>
    <w:p>
      <w:pPr>
        <w:adjustRightInd w:val="0"/>
        <w:snapToGrid w:val="0"/>
        <w:spacing w:line="360" w:lineRule="auto"/>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b/>
          <w:sz w:val="44"/>
          <w:szCs w:val="44"/>
          <w:lang w:eastAsia="zh-CN"/>
        </w:rPr>
        <w:t>书</w:t>
      </w:r>
    </w:p>
    <w:bookmarkEnd w:id="0"/>
    <w:p>
      <w:pPr>
        <w:pageBreakBefore w:val="0"/>
        <w:kinsoku/>
        <w:wordWrap/>
        <w:overflowPunct/>
        <w:topLinePunct w:val="0"/>
        <w:bidi w:val="0"/>
        <w:spacing w:line="560" w:lineRule="exact"/>
        <w:ind w:firstLine="280" w:firstLineChars="100"/>
        <w:jc w:val="both"/>
        <w:rPr>
          <w:rFonts w:hint="default" w:ascii="Times New Roman" w:hAnsi="Times New Roman" w:cs="Times New Roman"/>
          <w:sz w:val="28"/>
          <w:szCs w:val="28"/>
          <w:lang w:eastAsia="zh-CN"/>
        </w:rPr>
      </w:pPr>
      <w:bookmarkStart w:id="1" w:name="_Toc21641"/>
      <w:bookmarkStart w:id="2" w:name="_Toc426550707"/>
      <w:r>
        <w:rPr>
          <w:rFonts w:hint="default" w:ascii="Times New Roman" w:hAnsi="Times New Roman" w:cs="Times New Roman"/>
          <w:sz w:val="28"/>
          <w:szCs w:val="28"/>
          <w:lang w:val="en-US" w:eastAsia="zh-CN"/>
        </w:rPr>
        <w:t xml:space="preserve">               </w:t>
      </w:r>
    </w:p>
    <w:p>
      <w:pPr>
        <w:pageBreakBefore w:val="0"/>
        <w:kinsoku/>
        <w:wordWrap/>
        <w:overflowPunct/>
        <w:topLinePunct w:val="0"/>
        <w:bidi w:val="0"/>
        <w:spacing w:line="560" w:lineRule="exact"/>
        <w:jc w:val="both"/>
        <w:rPr>
          <w:rFonts w:hint="default" w:ascii="Times New Roman" w:hAnsi="Times New Roman" w:cs="Times New Roman"/>
          <w:sz w:val="28"/>
          <w:szCs w:val="28"/>
          <w:lang w:eastAsia="zh-CN"/>
        </w:rPr>
      </w:pPr>
    </w:p>
    <w:p>
      <w:pPr>
        <w:pageBreakBefore w:val="0"/>
        <w:kinsoku/>
        <w:wordWrap/>
        <w:overflowPunct/>
        <w:topLinePunct w:val="0"/>
        <w:bidi w:val="0"/>
        <w:spacing w:line="560" w:lineRule="exact"/>
        <w:ind w:firstLine="2800" w:firstLineChars="1000"/>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设计：</w:t>
      </w:r>
      <w:r>
        <w:rPr>
          <w:rFonts w:hint="default" w:ascii="Times New Roman" w:hAnsi="Times New Roman" w:cs="Times New Roman"/>
          <w:sz w:val="28"/>
          <w:szCs w:val="28"/>
          <w:lang w:val="en-US" w:eastAsia="zh-CN"/>
        </w:rPr>
        <w:t xml:space="preserve">         </w:t>
      </w:r>
    </w:p>
    <w:p>
      <w:pPr>
        <w:pageBreakBefore w:val="0"/>
        <w:kinsoku/>
        <w:wordWrap/>
        <w:overflowPunct/>
        <w:topLinePunct w:val="0"/>
        <w:bidi w:val="0"/>
        <w:spacing w:line="560" w:lineRule="exact"/>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审核：</w:t>
      </w:r>
    </w:p>
    <w:p>
      <w:pPr>
        <w:pageBreakBefore w:val="0"/>
        <w:kinsoku/>
        <w:wordWrap/>
        <w:overflowPunct/>
        <w:topLinePunct w:val="0"/>
        <w:bidi w:val="0"/>
        <w:spacing w:line="560" w:lineRule="exact"/>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会审：</w:t>
      </w:r>
    </w:p>
    <w:p>
      <w:pPr>
        <w:pageBreakBefore w:val="0"/>
        <w:kinsoku/>
        <w:wordWrap/>
        <w:overflowPunct/>
        <w:topLinePunct w:val="0"/>
        <w:bidi w:val="0"/>
        <w:spacing w:line="560" w:lineRule="exact"/>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批准：</w:t>
      </w:r>
    </w:p>
    <w:p>
      <w:pPr>
        <w:pageBreakBefore w:val="0"/>
        <w:kinsoku/>
        <w:wordWrap/>
        <w:overflowPunct/>
        <w:topLinePunct w:val="0"/>
        <w:bidi w:val="0"/>
        <w:spacing w:line="560" w:lineRule="exact"/>
        <w:jc w:val="center"/>
        <w:rPr>
          <w:rFonts w:hint="default" w:ascii="Times New Roman" w:hAnsi="Times New Roman" w:cs="Times New Roman"/>
          <w:sz w:val="28"/>
          <w:szCs w:val="28"/>
        </w:rPr>
      </w:pPr>
    </w:p>
    <w:p>
      <w:pPr>
        <w:pageBreakBefore w:val="0"/>
        <w:kinsoku/>
        <w:wordWrap/>
        <w:overflowPunct/>
        <w:topLinePunct w:val="0"/>
        <w:bidi w:val="0"/>
        <w:spacing w:line="560" w:lineRule="exact"/>
        <w:jc w:val="center"/>
        <w:rPr>
          <w:rFonts w:hint="default" w:ascii="Times New Roman" w:hAnsi="Times New Roman" w:cs="Times New Roman"/>
          <w:sz w:val="28"/>
          <w:szCs w:val="28"/>
        </w:rPr>
      </w:pPr>
    </w:p>
    <w:p>
      <w:pPr>
        <w:pageBreakBefore w:val="0"/>
        <w:kinsoku/>
        <w:wordWrap/>
        <w:overflowPunct/>
        <w:topLinePunct w:val="0"/>
        <w:bidi w:val="0"/>
        <w:spacing w:line="560" w:lineRule="exact"/>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21</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月</w:t>
      </w:r>
    </w:p>
    <w:p>
      <w:pPr>
        <w:pageBreakBefore w:val="0"/>
        <w:kinsoku/>
        <w:wordWrap/>
        <w:overflowPunct/>
        <w:topLinePunct w:val="0"/>
        <w:bidi w:val="0"/>
        <w:spacing w:line="560" w:lineRule="exact"/>
        <w:jc w:val="center"/>
        <w:rPr>
          <w:rFonts w:hint="default" w:ascii="Times New Roman" w:hAnsi="Times New Roman" w:cs="Times New Roman"/>
          <w:sz w:val="32"/>
          <w:szCs w:val="32"/>
          <w:lang w:val="en-US" w:eastAsia="zh-CN"/>
        </w:rPr>
      </w:pPr>
    </w:p>
    <w:p>
      <w:pPr>
        <w:pStyle w:val="18"/>
        <w:shd w:val="clear" w:color="auto" w:fill="FFFFFF" w:themeFill="background1"/>
        <w:spacing w:line="360" w:lineRule="auto"/>
        <w:ind w:right="615" w:rightChars="293"/>
        <w:rPr>
          <w:rFonts w:hint="default" w:ascii="Times New Roman" w:hAnsi="Times New Roman" w:cs="Times New Roman"/>
          <w:kern w:val="0"/>
          <w:sz w:val="24"/>
        </w:rPr>
      </w:pP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b/>
          <w:bCs/>
          <w:kern w:val="0"/>
          <w:sz w:val="24"/>
        </w:rPr>
      </w:pPr>
      <w:r>
        <w:rPr>
          <w:rFonts w:hint="default" w:ascii="Times New Roman" w:hAnsi="Times New Roman" w:cs="Times New Roman"/>
          <w:b/>
          <w:bCs/>
          <w:kern w:val="0"/>
          <w:sz w:val="24"/>
        </w:rPr>
        <w:t xml:space="preserve">1．项目概述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项目名称：</w:t>
      </w:r>
      <w:r>
        <w:rPr>
          <w:rFonts w:hint="default" w:ascii="Times New Roman" w:hAnsi="Times New Roman" w:cs="Times New Roman"/>
          <w:b w:val="0"/>
          <w:bCs w:val="0"/>
          <w:sz w:val="24"/>
          <w:szCs w:val="21"/>
          <w:lang w:val="en-US" w:eastAsia="zh-CN" w:bidi="ar-SA"/>
        </w:rPr>
        <w:t>芜湖新兴铸管有限责任公司铁前事业部照明集中改造</w:t>
      </w:r>
      <w:r>
        <w:rPr>
          <w:rFonts w:hint="default" w:ascii="Times New Roman" w:hAnsi="Times New Roman" w:cs="Times New Roman"/>
          <w:kern w:val="0"/>
          <w:sz w:val="24"/>
        </w:rPr>
        <w:t xml:space="preserve">项目。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b/>
          <w:bCs/>
          <w:kern w:val="0"/>
          <w:sz w:val="24"/>
          <w:lang w:val="en-US" w:eastAsia="zh-CN"/>
        </w:rPr>
        <w:t>2</w:t>
      </w:r>
      <w:r>
        <w:rPr>
          <w:rFonts w:hint="default" w:ascii="Times New Roman" w:hAnsi="Times New Roman" w:cs="Times New Roman"/>
          <w:b/>
          <w:bCs/>
          <w:kern w:val="0"/>
          <w:sz w:val="24"/>
        </w:rPr>
        <w:t xml:space="preserve">．灯具的设计、制造及安装等应符合以下国内或者国际标准（满足以下但并不仅限于以下） </w:t>
      </w:r>
      <w:r>
        <w:rPr>
          <w:rFonts w:hint="default" w:ascii="Times New Roman" w:hAnsi="Times New Roman" w:cs="Times New Roman"/>
          <w:kern w:val="0"/>
          <w:sz w:val="24"/>
        </w:rPr>
        <w:t xml:space="preserve">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GB/T 5702-201</w:t>
      </w:r>
      <w:r>
        <w:rPr>
          <w:rFonts w:hint="default" w:ascii="Times New Roman" w:hAnsi="Times New Roman" w:cs="Times New Roman"/>
          <w:kern w:val="0"/>
          <w:sz w:val="24"/>
          <w:lang w:val="en-US" w:eastAsia="zh-CN"/>
        </w:rPr>
        <w:t>9</w:t>
      </w:r>
      <w:r>
        <w:rPr>
          <w:rFonts w:hint="default" w:ascii="Times New Roman" w:hAnsi="Times New Roman" w:cs="Times New Roman"/>
          <w:kern w:val="0"/>
          <w:sz w:val="24"/>
        </w:rPr>
        <w:t xml:space="preserve">《光源显色性评价方法》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GB/T 7922-2008 《照明光源颜色的测量方法》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JJG 211-2005 《光亮度计检定规程》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JJG 245-2005 《光照度计检定规程》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GB7001</w:t>
      </w:r>
      <w:r>
        <w:rPr>
          <w:rFonts w:hint="default" w:ascii="Times New Roman" w:hAnsi="Times New Roman" w:cs="Times New Roman"/>
          <w:kern w:val="0"/>
          <w:sz w:val="24"/>
          <w:lang w:val="en-US" w:eastAsia="zh-CN"/>
        </w:rPr>
        <w:t>-2015</w:t>
      </w:r>
      <w:r>
        <w:rPr>
          <w:rFonts w:hint="default" w:ascii="Times New Roman" w:hAnsi="Times New Roman" w:cs="Times New Roman"/>
          <w:kern w:val="0"/>
          <w:sz w:val="24"/>
        </w:rPr>
        <w:t xml:space="preserve"> 《</w:t>
      </w:r>
      <w:r>
        <w:rPr>
          <w:rFonts w:hint="default" w:ascii="Times New Roman" w:hAnsi="Times New Roman" w:cs="Times New Roman"/>
          <w:kern w:val="0"/>
          <w:sz w:val="24"/>
          <w:lang w:eastAsia="zh-CN"/>
        </w:rPr>
        <w:t>国家强制性灯具安全标准</w:t>
      </w:r>
      <w:r>
        <w:rPr>
          <w:rFonts w:hint="default" w:ascii="Times New Roman" w:hAnsi="Times New Roman" w:cs="Times New Roman"/>
          <w:kern w:val="0"/>
          <w:sz w:val="24"/>
        </w:rPr>
        <w:t xml:space="preserve">》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CIE 127-2007 《LED</w:t>
      </w:r>
      <w:r>
        <w:rPr>
          <w:rFonts w:hint="default" w:ascii="Times New Roman" w:hAnsi="Times New Roman" w:cs="Times New Roman"/>
          <w:kern w:val="0"/>
          <w:sz w:val="24"/>
          <w:lang w:eastAsia="zh-CN"/>
        </w:rPr>
        <w:t>的测量</w:t>
      </w:r>
      <w:r>
        <w:rPr>
          <w:rFonts w:hint="default" w:ascii="Times New Roman" w:hAnsi="Times New Roman" w:cs="Times New Roman"/>
          <w:kern w:val="0"/>
          <w:sz w:val="24"/>
        </w:rPr>
        <w:t xml:space="preserve">》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GB/T34446-2017《固定式通用LED灯具性能要求》</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firstLine="480" w:firstLineChars="20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xml:space="preserve">注：以上标准均执行最新版本。如本技术规格书与上述各标准之间有矛盾，则应满足较高标准的要求。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kern w:val="0"/>
          <w:sz w:val="24"/>
        </w:rPr>
        <w:t>3．</w:t>
      </w:r>
      <w:r>
        <w:rPr>
          <w:rFonts w:hint="default" w:ascii="Times New Roman" w:hAnsi="Times New Roman" w:cs="Times New Roman"/>
          <w:b/>
          <w:bCs/>
          <w:kern w:val="0"/>
          <w:sz w:val="24"/>
          <w:lang w:val="en-US" w:eastAsia="zh-CN"/>
        </w:rPr>
        <w:t>LED防爆方形灯</w:t>
      </w:r>
      <w:r>
        <w:rPr>
          <w:rFonts w:hint="default" w:ascii="Times New Roman" w:hAnsi="Times New Roman" w:cs="Times New Roman"/>
          <w:b/>
          <w:bCs/>
          <w:kern w:val="0"/>
          <w:sz w:val="24"/>
        </w:rPr>
        <w:t xml:space="preserve">技术参数及性能要求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3.1 防爆标志Exd IICT6，</w:t>
      </w:r>
      <w:r>
        <w:rPr>
          <w:rFonts w:hint="default" w:ascii="Times New Roman" w:hAnsi="Times New Roman" w:cs="Times New Roman"/>
          <w:kern w:val="0"/>
          <w:sz w:val="24"/>
        </w:rPr>
        <w:t>提供防爆合格证</w:t>
      </w:r>
      <w:r>
        <w:rPr>
          <w:rFonts w:hint="default" w:ascii="Times New Roman" w:hAnsi="Times New Roman" w:cs="Times New Roman"/>
          <w:kern w:val="0"/>
          <w:sz w:val="24"/>
          <w:lang w:eastAsia="zh-CN"/>
        </w:rPr>
        <w:t>。</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3.2 防护等级</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IP66，</w:t>
      </w:r>
      <w:r>
        <w:rPr>
          <w:rFonts w:hint="default" w:ascii="Times New Roman" w:hAnsi="Times New Roman" w:cs="Times New Roman"/>
          <w:kern w:val="0"/>
          <w:sz w:val="24"/>
        </w:rPr>
        <w:t>提供防护等级IP6</w:t>
      </w: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以上的检测报告。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3.3 </w:t>
      </w:r>
      <w:r>
        <w:rPr>
          <w:rFonts w:hint="default" w:ascii="Times New Roman" w:hAnsi="Times New Roman" w:cs="Times New Roman"/>
          <w:kern w:val="0"/>
          <w:sz w:val="24"/>
          <w:lang w:eastAsia="zh-CN"/>
        </w:rPr>
        <w:t>提供</w:t>
      </w:r>
      <w:r>
        <w:rPr>
          <w:rFonts w:hint="default" w:ascii="Times New Roman" w:hAnsi="Times New Roman" w:cs="Times New Roman"/>
          <w:kern w:val="0"/>
          <w:sz w:val="24"/>
        </w:rPr>
        <w:t>WF2防腐等级的测试报告。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rPr>
      </w:pPr>
      <w:r>
        <w:rPr>
          <w:rFonts w:hint="default" w:ascii="Times New Roman" w:hAnsi="Times New Roman" w:cs="Times New Roman"/>
          <w:kern w:val="0"/>
          <w:sz w:val="24"/>
          <w:lang w:val="en-US" w:eastAsia="zh-CN"/>
        </w:rPr>
        <w:t xml:space="preserve">3.4 </w:t>
      </w:r>
      <w:r>
        <w:rPr>
          <w:rFonts w:hint="default" w:ascii="Times New Roman" w:hAnsi="Times New Roman" w:cs="Times New Roman"/>
          <w:kern w:val="0"/>
          <w:sz w:val="24"/>
          <w:lang w:eastAsia="zh-CN"/>
        </w:rPr>
        <w:t>光效</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120LM/W，色温：5500K±200K</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3.5 显色指数：Ra≥90</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3.6 功率因数：≥0.95</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3.7 LED</w:t>
      </w:r>
      <w:r>
        <w:rPr>
          <w:rFonts w:hint="default" w:ascii="Times New Roman" w:hAnsi="Times New Roman" w:cs="Times New Roman"/>
          <w:kern w:val="0"/>
          <w:sz w:val="24"/>
          <w:lang w:eastAsia="zh-CN"/>
        </w:rPr>
        <w:t>光源要求采用原装进口产品，并提供相应证明文件。</w:t>
      </w:r>
      <w:r>
        <w:rPr>
          <w:rFonts w:hint="default" w:ascii="Times New Roman" w:hAnsi="Times New Roman" w:cs="Times New Roman"/>
          <w:kern w:val="0"/>
          <w:sz w:val="24"/>
          <w:lang w:val="en-US" w:eastAsia="zh-CN"/>
        </w:rPr>
        <w:t>驱动电源选用原装进口产品，并提供相应证明文件。</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3.8 输入电压AC180～260V，50Hz，LED灯采用宽幅电压设计并且提供官方的授权证明书，电压波动时灯体总功率基本上无变化，避免频闪，保障工人使用照明环境的稳定性。</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3.9 提供光源的LM80光衰检测报告。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3.10 提供质量、环境，健康认证体系证书。</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3.11 灯具外壳采用进口优质铝材压铸成型，并采用鳍片式自然散热结构设计，</w:t>
      </w:r>
      <w:r>
        <w:rPr>
          <w:rFonts w:hint="default" w:ascii="Times New Roman" w:hAnsi="Times New Roman" w:cs="Times New Roman"/>
          <w:kern w:val="0"/>
          <w:sz w:val="24"/>
          <w:lang w:val="en-US" w:eastAsia="zh-CN"/>
        </w:rPr>
        <w:t>采用光学PC做灯罩</w:t>
      </w:r>
      <w:r>
        <w:rPr>
          <w:rFonts w:hint="default" w:ascii="Times New Roman" w:hAnsi="Times New Roman" w:cs="Times New Roman"/>
          <w:kern w:val="0"/>
          <w:sz w:val="24"/>
          <w:lang w:val="en-US" w:eastAsia="zh-CN"/>
        </w:rPr>
        <w:t>，确保在各种场所长期安全工作。</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3.12 提供相关安装配件以及配套安装辅材。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kern w:val="0"/>
          <w:sz w:val="24"/>
          <w:lang w:val="en-US" w:eastAsia="zh-CN"/>
        </w:rPr>
        <w:t>4</w:t>
      </w:r>
      <w:r>
        <w:rPr>
          <w:rFonts w:hint="default" w:ascii="Times New Roman" w:hAnsi="Times New Roman" w:cs="Times New Roman"/>
          <w:b/>
          <w:bCs/>
          <w:kern w:val="0"/>
          <w:sz w:val="24"/>
        </w:rPr>
        <w:t>．</w:t>
      </w:r>
      <w:r>
        <w:rPr>
          <w:rFonts w:hint="default" w:ascii="Times New Roman" w:hAnsi="Times New Roman" w:cs="Times New Roman"/>
          <w:b/>
          <w:bCs/>
          <w:kern w:val="0"/>
          <w:sz w:val="24"/>
          <w:lang w:val="en-US" w:eastAsia="zh-CN"/>
        </w:rPr>
        <w:t>LED高顶灯和LED方形泛光灯</w:t>
      </w:r>
      <w:r>
        <w:rPr>
          <w:rFonts w:hint="default" w:ascii="Times New Roman" w:hAnsi="Times New Roman" w:cs="Times New Roman"/>
          <w:b/>
          <w:bCs/>
          <w:kern w:val="0"/>
          <w:sz w:val="24"/>
        </w:rPr>
        <w:t xml:space="preserve">技术参数及性能要求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4.1 提供3C检测证书</w:t>
      </w:r>
      <w:r>
        <w:rPr>
          <w:rFonts w:hint="default" w:ascii="Times New Roman" w:hAnsi="Times New Roman" w:cs="Times New Roman"/>
          <w:kern w:val="0"/>
          <w:sz w:val="24"/>
          <w:lang w:eastAsia="zh-CN"/>
        </w:rPr>
        <w:t>。</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4.2 防护等级</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IP66，</w:t>
      </w:r>
      <w:r>
        <w:rPr>
          <w:rFonts w:hint="default" w:ascii="Times New Roman" w:hAnsi="Times New Roman" w:cs="Times New Roman"/>
          <w:kern w:val="0"/>
          <w:sz w:val="24"/>
        </w:rPr>
        <w:t>提供防护等级IP6</w:t>
      </w: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以上的检测报告。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4.3 </w:t>
      </w:r>
      <w:r>
        <w:rPr>
          <w:rFonts w:hint="default" w:ascii="Times New Roman" w:hAnsi="Times New Roman" w:cs="Times New Roman"/>
          <w:kern w:val="0"/>
          <w:sz w:val="24"/>
          <w:lang w:eastAsia="zh-CN"/>
        </w:rPr>
        <w:t>提供</w:t>
      </w:r>
      <w:r>
        <w:rPr>
          <w:rFonts w:hint="default" w:ascii="Times New Roman" w:hAnsi="Times New Roman" w:cs="Times New Roman"/>
          <w:kern w:val="0"/>
          <w:sz w:val="24"/>
        </w:rPr>
        <w:t>WF2防腐等级的测试报告。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rPr>
      </w:pPr>
      <w:r>
        <w:rPr>
          <w:rFonts w:hint="default" w:ascii="Times New Roman" w:hAnsi="Times New Roman" w:cs="Times New Roman"/>
          <w:kern w:val="0"/>
          <w:sz w:val="24"/>
          <w:lang w:val="en-US" w:eastAsia="zh-CN"/>
        </w:rPr>
        <w:t xml:space="preserve">4.4 </w:t>
      </w:r>
      <w:r>
        <w:rPr>
          <w:rFonts w:hint="default" w:ascii="Times New Roman" w:hAnsi="Times New Roman" w:cs="Times New Roman"/>
          <w:kern w:val="0"/>
          <w:sz w:val="24"/>
          <w:lang w:eastAsia="zh-CN"/>
        </w:rPr>
        <w:t>光效</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120LM/W，色温：5500K±200K</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4.5 显色指数：Ra≥90</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4.6 功率因数：≥0.95</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4.7 LED</w:t>
      </w:r>
      <w:r>
        <w:rPr>
          <w:rFonts w:hint="default" w:ascii="Times New Roman" w:hAnsi="Times New Roman" w:cs="Times New Roman"/>
          <w:kern w:val="0"/>
          <w:sz w:val="24"/>
          <w:lang w:eastAsia="zh-CN"/>
        </w:rPr>
        <w:t>光源要求采用原装进口产品，并提供相应证明文件。</w:t>
      </w:r>
      <w:r>
        <w:rPr>
          <w:rFonts w:hint="default" w:ascii="Times New Roman" w:hAnsi="Times New Roman" w:cs="Times New Roman"/>
          <w:kern w:val="0"/>
          <w:sz w:val="24"/>
          <w:lang w:val="en-US" w:eastAsia="zh-CN"/>
        </w:rPr>
        <w:t>驱动电源选用原装进口产品，并提供相应证明文件。</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4.8 输入电压AC180～260V，50Hz，LED灯采用宽幅电压设计并且提供官方的授权证明书，电压波动时灯体总功率基本上无变化，避免频闪，保障工人使用照明环境的稳定性。</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4.9 提供光源的LM80光衰检测报告。</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4.10 提供质量、环境，健康认证体系证书。</w:t>
      </w:r>
      <w:bookmarkStart w:id="3" w:name="_GoBack"/>
      <w:bookmarkEnd w:id="3"/>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4.11 灯具外壳采用进口优质铝材压铸成型，并采用鳍片式自然散热结构设计，</w:t>
      </w:r>
      <w:r>
        <w:rPr>
          <w:rFonts w:hint="default" w:ascii="Times New Roman" w:hAnsi="Times New Roman" w:cs="Times New Roman"/>
          <w:kern w:val="0"/>
          <w:sz w:val="24"/>
          <w:lang w:val="en-US" w:eastAsia="zh-CN"/>
        </w:rPr>
        <w:t>采用光学PC做灯罩</w:t>
      </w:r>
      <w:r>
        <w:rPr>
          <w:rFonts w:hint="default" w:ascii="Times New Roman" w:hAnsi="Times New Roman" w:cs="Times New Roman"/>
          <w:kern w:val="0"/>
          <w:sz w:val="24"/>
          <w:lang w:val="en-US" w:eastAsia="zh-CN"/>
        </w:rPr>
        <w:t>，确保在各种场所长期安全工作。</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4.12 提供相关安装配件以及配套安装辅材。</w:t>
      </w:r>
    </w:p>
    <w:p>
      <w:pPr>
        <w:shd w:val="solid" w:color="FFFFFF" w:fill="auto"/>
        <w:autoSpaceDN w:val="0"/>
        <w:snapToGrid w:val="0"/>
        <w:spacing w:before="156" w:beforeLines="50" w:after="156" w:afterLines="50" w:line="480" w:lineRule="exac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eastAsia="zh-CN"/>
        </w:rPr>
        <w:t xml:space="preserve">4 </w:t>
      </w:r>
      <w:r>
        <w:rPr>
          <w:rFonts w:hint="default" w:ascii="Times New Roman" w:hAnsi="Times New Roman" w:cs="Times New Roman"/>
          <w:b/>
          <w:color w:val="000000"/>
          <w:sz w:val="24"/>
          <w:szCs w:val="24"/>
        </w:rPr>
        <w:t>设备供货要求</w:t>
      </w:r>
    </w:p>
    <w:tbl>
      <w:tblPr>
        <w:tblStyle w:val="12"/>
        <w:tblW w:w="8858" w:type="dxa"/>
        <w:tblInd w:w="0" w:type="dxa"/>
        <w:tblLayout w:type="fixed"/>
        <w:tblCellMar>
          <w:top w:w="0" w:type="dxa"/>
          <w:left w:w="283" w:type="dxa"/>
          <w:bottom w:w="0" w:type="dxa"/>
          <w:right w:w="0" w:type="dxa"/>
        </w:tblCellMar>
      </w:tblPr>
      <w:tblGrid>
        <w:gridCol w:w="755"/>
        <w:gridCol w:w="2043"/>
        <w:gridCol w:w="3848"/>
        <w:gridCol w:w="2212"/>
      </w:tblGrid>
      <w:tr>
        <w:tblPrEx>
          <w:tblCellMar>
            <w:top w:w="0" w:type="dxa"/>
            <w:left w:w="283" w:type="dxa"/>
            <w:bottom w:w="0" w:type="dxa"/>
            <w:right w:w="0" w:type="dxa"/>
          </w:tblCellMar>
        </w:tblPrEx>
        <w:trPr>
          <w:trHeight w:val="575"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名称</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szCs w:val="21"/>
                <w:lang w:eastAsia="zh-CN"/>
              </w:rPr>
            </w:pPr>
            <w:r>
              <w:rPr>
                <w:rFonts w:hint="default" w:ascii="Times New Roman" w:hAnsi="Times New Roman" w:eastAsia="宋体" w:cs="Times New Roman"/>
                <w:b/>
                <w:bCs/>
                <w:color w:val="000000"/>
                <w:kern w:val="0"/>
                <w:szCs w:val="21"/>
                <w:lang w:eastAsia="zh-CN" w:bidi="ar"/>
              </w:rPr>
              <w:t>规格要求</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bCs/>
                <w:color w:val="000000"/>
                <w:kern w:val="0"/>
                <w:szCs w:val="21"/>
                <w:lang w:eastAsia="zh-CN" w:bidi="ar"/>
              </w:rPr>
            </w:pPr>
            <w:r>
              <w:rPr>
                <w:rFonts w:hint="default" w:ascii="Times New Roman" w:hAnsi="Times New Roman" w:eastAsia="宋体" w:cs="Times New Roman"/>
                <w:b/>
                <w:bCs/>
                <w:color w:val="000000"/>
                <w:kern w:val="0"/>
                <w:szCs w:val="21"/>
                <w:lang w:eastAsia="zh-CN" w:bidi="ar"/>
              </w:rPr>
              <w:t>数量</w:t>
            </w:r>
          </w:p>
        </w:tc>
      </w:tr>
      <w:tr>
        <w:tblPrEx>
          <w:tblCellMar>
            <w:top w:w="0" w:type="dxa"/>
            <w:left w:w="283" w:type="dxa"/>
            <w:bottom w:w="0" w:type="dxa"/>
            <w:right w:w="0" w:type="dxa"/>
          </w:tblCellMar>
        </w:tblPrEx>
        <w:trPr>
          <w:trHeight w:val="560"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sz w:val="21"/>
                <w:szCs w:val="21"/>
              </w:rPr>
              <w:t>防爆方形灯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Exd IICT6 LED 50W</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600套</w:t>
            </w:r>
          </w:p>
        </w:tc>
      </w:tr>
      <w:tr>
        <w:tblPrEx>
          <w:tblCellMar>
            <w:top w:w="0" w:type="dxa"/>
            <w:left w:w="283" w:type="dxa"/>
            <w:bottom w:w="0" w:type="dxa"/>
            <w:right w:w="0" w:type="dxa"/>
          </w:tblCellMar>
        </w:tblPrEx>
        <w:trPr>
          <w:trHeight w:val="607"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2</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rPr>
              <w:t>LED高顶灯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LED 250W ，配带灯罩</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130套</w:t>
            </w:r>
          </w:p>
        </w:tc>
      </w:tr>
      <w:tr>
        <w:tblPrEx>
          <w:tblCellMar>
            <w:top w:w="0" w:type="dxa"/>
            <w:left w:w="283" w:type="dxa"/>
            <w:bottom w:w="0" w:type="dxa"/>
            <w:right w:w="0" w:type="dxa"/>
          </w:tblCellMar>
        </w:tblPrEx>
        <w:trPr>
          <w:trHeight w:val="607"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LED方形泛光灯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LED 50W </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5423套</w:t>
            </w:r>
          </w:p>
        </w:tc>
      </w:tr>
      <w:tr>
        <w:tblPrEx>
          <w:tblCellMar>
            <w:top w:w="0" w:type="dxa"/>
            <w:left w:w="283" w:type="dxa"/>
            <w:bottom w:w="0" w:type="dxa"/>
            <w:right w:w="0" w:type="dxa"/>
          </w:tblCellMar>
        </w:tblPrEx>
        <w:trPr>
          <w:trHeight w:val="607"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LED方形泛光灯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LED 100W</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40套</w:t>
            </w:r>
          </w:p>
        </w:tc>
      </w:tr>
      <w:tr>
        <w:tblPrEx>
          <w:tblCellMar>
            <w:top w:w="0" w:type="dxa"/>
            <w:left w:w="283" w:type="dxa"/>
            <w:bottom w:w="0" w:type="dxa"/>
            <w:right w:w="0" w:type="dxa"/>
          </w:tblCellMar>
        </w:tblPrEx>
        <w:trPr>
          <w:trHeight w:val="607"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LED方形泛光灯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 xml:space="preserve">LED 150W </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56套</w:t>
            </w:r>
          </w:p>
        </w:tc>
      </w:tr>
      <w:tr>
        <w:tblPrEx>
          <w:tblCellMar>
            <w:top w:w="0" w:type="dxa"/>
            <w:left w:w="283" w:type="dxa"/>
            <w:bottom w:w="0" w:type="dxa"/>
            <w:right w:w="0" w:type="dxa"/>
          </w:tblCellMar>
        </w:tblPrEx>
        <w:trPr>
          <w:trHeight w:val="630"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6</w:t>
            </w:r>
          </w:p>
        </w:tc>
        <w:tc>
          <w:tcPr>
            <w:tcW w:w="2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LED方形泛光灯</w:t>
            </w:r>
          </w:p>
        </w:tc>
        <w:tc>
          <w:tcPr>
            <w:tcW w:w="3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LED 250W</w:t>
            </w:r>
          </w:p>
        </w:tc>
        <w:tc>
          <w:tcPr>
            <w:tcW w:w="2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20套</w:t>
            </w:r>
          </w:p>
        </w:tc>
      </w:tr>
    </w:tbl>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5</w:t>
      </w:r>
      <w:r>
        <w:rPr>
          <w:rFonts w:hint="default" w:ascii="Times New Roman" w:hAnsi="Times New Roman" w:cs="Times New Roman"/>
          <w:b/>
          <w:bCs/>
          <w:kern w:val="0"/>
          <w:sz w:val="24"/>
        </w:rPr>
        <w:t xml:space="preserve">．调试及验收要求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5</w:t>
      </w:r>
      <w:r>
        <w:rPr>
          <w:rFonts w:hint="default" w:ascii="Times New Roman" w:hAnsi="Times New Roman" w:cs="Times New Roman"/>
          <w:kern w:val="0"/>
          <w:sz w:val="24"/>
        </w:rPr>
        <w:t xml:space="preserve">.1接招标人通知后投标人须立刻派遣有实践经验的工程技术人员与招标人及设备安装单位一起进行设备的调试及试运行工作；在此阶段，因设备自身质量问题或安装指导出现差错，投标人应全权负责消除差错直到招标人满意，并应按合同条款中规定执行；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5</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 xml:space="preserve">2 </w:t>
      </w:r>
      <w:r>
        <w:rPr>
          <w:rFonts w:hint="default" w:ascii="Times New Roman" w:hAnsi="Times New Roman" w:cs="Times New Roman"/>
          <w:kern w:val="0"/>
          <w:sz w:val="24"/>
        </w:rPr>
        <w:t>在</w:t>
      </w:r>
      <w:r>
        <w:rPr>
          <w:rFonts w:hint="default" w:ascii="Times New Roman" w:hAnsi="Times New Roman" w:cs="Times New Roman"/>
          <w:kern w:val="0"/>
          <w:sz w:val="24"/>
          <w:lang w:eastAsia="zh-CN"/>
        </w:rPr>
        <w:t>安装</w:t>
      </w:r>
      <w:r>
        <w:rPr>
          <w:rFonts w:hint="default" w:ascii="Times New Roman" w:hAnsi="Times New Roman" w:cs="Times New Roman"/>
          <w:kern w:val="0"/>
          <w:sz w:val="24"/>
        </w:rPr>
        <w:t>调试期间投标人应在现场负责</w:t>
      </w:r>
      <w:r>
        <w:rPr>
          <w:rFonts w:hint="default" w:ascii="Times New Roman" w:hAnsi="Times New Roman" w:cs="Times New Roman"/>
          <w:kern w:val="0"/>
          <w:sz w:val="24"/>
          <w:lang w:eastAsia="zh-CN"/>
        </w:rPr>
        <w:t>指导安装，并负责</w:t>
      </w:r>
      <w:r>
        <w:rPr>
          <w:rFonts w:hint="default" w:ascii="Times New Roman" w:hAnsi="Times New Roman" w:cs="Times New Roman"/>
          <w:kern w:val="0"/>
          <w:sz w:val="24"/>
        </w:rPr>
        <w:t>调试。</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5.3 </w:t>
      </w:r>
      <w:r>
        <w:rPr>
          <w:rFonts w:hint="default" w:ascii="Times New Roman" w:hAnsi="Times New Roman" w:cs="Times New Roman"/>
          <w:kern w:val="0"/>
          <w:sz w:val="24"/>
        </w:rPr>
        <w:t xml:space="preserve">灯具试运行需要在和本项目有关的部门及招标人的工程技术人员的监督下进行；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eastAsiaTheme="minorEastAsia"/>
          <w:kern w:val="0"/>
          <w:sz w:val="24"/>
          <w:lang w:eastAsia="zh-CN"/>
        </w:rPr>
      </w:pPr>
      <w:r>
        <w:rPr>
          <w:rFonts w:hint="default" w:ascii="Times New Roman" w:hAnsi="Times New Roman" w:cs="Times New Roman"/>
          <w:kern w:val="0"/>
          <w:sz w:val="24"/>
          <w:lang w:val="en-US" w:eastAsia="zh-CN"/>
        </w:rPr>
        <w:t xml:space="preserve">5.4 </w:t>
      </w:r>
      <w:r>
        <w:rPr>
          <w:rFonts w:hint="default" w:ascii="Times New Roman" w:hAnsi="Times New Roman" w:cs="Times New Roman"/>
          <w:kern w:val="0"/>
          <w:sz w:val="24"/>
        </w:rPr>
        <w:t>验收时应提交下列资料和文件：出厂试验报告；制造厂提供的产品说明书、调试大纲、试验方法、试验记录、合格证书及安装图纸等技术文件；根据合同提供的备品备件及专用工具</w:t>
      </w:r>
      <w:r>
        <w:rPr>
          <w:rFonts w:hint="default" w:ascii="Times New Roman" w:hAnsi="Times New Roman" w:cs="Times New Roman"/>
          <w:kern w:val="0"/>
          <w:sz w:val="24"/>
          <w:lang w:eastAsia="zh-CN"/>
        </w:rPr>
        <w:t>。</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6</w:t>
      </w:r>
      <w:r>
        <w:rPr>
          <w:rFonts w:hint="default" w:ascii="Times New Roman" w:hAnsi="Times New Roman" w:cs="Times New Roman"/>
          <w:b/>
          <w:bCs/>
          <w:kern w:val="0"/>
          <w:sz w:val="24"/>
        </w:rPr>
        <w:t xml:space="preserve">．质保期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 xml:space="preserve">.1质保期期限五年，并提供质保书和相关服务承诺书；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 xml:space="preserve">.2投标方应提供单套灯具详细相关数据、参数，并提供实物样品；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.3</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投标人应有雄厚的售后服务。在质保期内，由于设备本身质量原因造成的任何损失和损坏，中标方应负责免费维修或更换；质保期满后，中标方应提供设备寿命期内的服务； </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eastAsiaTheme="minorEastAsia"/>
          <w:kern w:val="0"/>
          <w:sz w:val="24"/>
          <w:lang w:eastAsia="zh-CN"/>
        </w:rPr>
      </w:pP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.4</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对于招标人提出的故障技术支持要求能保证在24小时内解决</w:t>
      </w:r>
      <w:r>
        <w:rPr>
          <w:rFonts w:hint="default" w:ascii="Times New Roman" w:hAnsi="Times New Roman" w:cs="Times New Roman"/>
          <w:kern w:val="0"/>
          <w:sz w:val="24"/>
          <w:lang w:eastAsia="zh-CN"/>
        </w:rPr>
        <w:t>；</w:t>
      </w:r>
    </w:p>
    <w:p>
      <w:pPr>
        <w:pStyle w:val="18"/>
        <w:keepNext w:val="0"/>
        <w:keepLines w:val="0"/>
        <w:pageBreakBefore w:val="0"/>
        <w:widowControl/>
        <w:shd w:val="clear" w:color="auto" w:fill="FFFFFF" w:themeFill="background1"/>
        <w:kinsoku/>
        <w:wordWrap/>
        <w:overflowPunct/>
        <w:topLinePunct w:val="0"/>
        <w:autoSpaceDE/>
        <w:autoSpaceDN/>
        <w:bidi w:val="0"/>
        <w:adjustRightInd w:val="0"/>
        <w:snapToGrid w:val="0"/>
        <w:spacing w:line="480" w:lineRule="exact"/>
        <w:ind w:right="0" w:rightChars="0"/>
        <w:textAlignment w:val="auto"/>
        <w:outlineLvl w:val="9"/>
        <w:rPr>
          <w:rFonts w:hint="default" w:ascii="Times New Roman" w:hAnsi="Times New Roman" w:cs="Times New Roman"/>
          <w:b/>
          <w:bCs/>
          <w:color w:val="000000"/>
          <w:sz w:val="32"/>
          <w:szCs w:val="32"/>
        </w:rPr>
      </w:pPr>
      <w:r>
        <w:rPr>
          <w:rFonts w:hint="default" w:ascii="Times New Roman" w:hAnsi="Times New Roman" w:cs="Times New Roman"/>
          <w:kern w:val="0"/>
          <w:sz w:val="24"/>
          <w:lang w:val="en-US" w:eastAsia="zh-CN"/>
        </w:rPr>
        <w:t>6</w:t>
      </w:r>
      <w:r>
        <w:rPr>
          <w:rFonts w:hint="default" w:ascii="Times New Roman" w:hAnsi="Times New Roman" w:cs="Times New Roman"/>
          <w:kern w:val="0"/>
          <w:sz w:val="24"/>
        </w:rPr>
        <w:t>.5</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投标人在投标文件中应详细描述售后服务承诺的具体方案及灯具的电气、光源备品备件的库存情况。 </w:t>
      </w:r>
      <w:bookmarkEnd w:id="1"/>
      <w:bookmarkEnd w:id="2"/>
    </w:p>
    <w:sectPr>
      <w:footerReference r:id="rId3" w:type="default"/>
      <w:pgSz w:w="11906" w:h="16838"/>
      <w:pgMar w:top="1440" w:right="1803"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思源黑体 CN Normal">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C1"/>
    <w:rsid w:val="00021013"/>
    <w:rsid w:val="00030FAF"/>
    <w:rsid w:val="000400A7"/>
    <w:rsid w:val="0004086D"/>
    <w:rsid w:val="0009096F"/>
    <w:rsid w:val="000911F6"/>
    <w:rsid w:val="000A7B0C"/>
    <w:rsid w:val="000C71B6"/>
    <w:rsid w:val="000F0C54"/>
    <w:rsid w:val="001169E7"/>
    <w:rsid w:val="00135A1C"/>
    <w:rsid w:val="00152C10"/>
    <w:rsid w:val="00161363"/>
    <w:rsid w:val="00171188"/>
    <w:rsid w:val="001C1D01"/>
    <w:rsid w:val="001E5E8B"/>
    <w:rsid w:val="001F4638"/>
    <w:rsid w:val="0022440A"/>
    <w:rsid w:val="00241DEE"/>
    <w:rsid w:val="002E763F"/>
    <w:rsid w:val="002F3B66"/>
    <w:rsid w:val="002F59B5"/>
    <w:rsid w:val="002F7546"/>
    <w:rsid w:val="0030095A"/>
    <w:rsid w:val="00342F61"/>
    <w:rsid w:val="003565CF"/>
    <w:rsid w:val="00360A6B"/>
    <w:rsid w:val="003A01C3"/>
    <w:rsid w:val="003B504F"/>
    <w:rsid w:val="003D222E"/>
    <w:rsid w:val="003F5AC7"/>
    <w:rsid w:val="00437D2E"/>
    <w:rsid w:val="004658EC"/>
    <w:rsid w:val="00496805"/>
    <w:rsid w:val="004C0893"/>
    <w:rsid w:val="004C5FCB"/>
    <w:rsid w:val="004E6579"/>
    <w:rsid w:val="00502608"/>
    <w:rsid w:val="005036DA"/>
    <w:rsid w:val="00536B8A"/>
    <w:rsid w:val="005E61D4"/>
    <w:rsid w:val="005F224F"/>
    <w:rsid w:val="00693534"/>
    <w:rsid w:val="006C4427"/>
    <w:rsid w:val="006C66D2"/>
    <w:rsid w:val="006D1256"/>
    <w:rsid w:val="006F2CA1"/>
    <w:rsid w:val="007070C4"/>
    <w:rsid w:val="007335D9"/>
    <w:rsid w:val="007932A7"/>
    <w:rsid w:val="007B0BA7"/>
    <w:rsid w:val="00806F80"/>
    <w:rsid w:val="00847A6B"/>
    <w:rsid w:val="00887D16"/>
    <w:rsid w:val="008A0C7B"/>
    <w:rsid w:val="0090555D"/>
    <w:rsid w:val="00934826"/>
    <w:rsid w:val="009449C5"/>
    <w:rsid w:val="009757CA"/>
    <w:rsid w:val="009906A9"/>
    <w:rsid w:val="009C0C69"/>
    <w:rsid w:val="009F0336"/>
    <w:rsid w:val="00A10817"/>
    <w:rsid w:val="00A134FA"/>
    <w:rsid w:val="00A30D25"/>
    <w:rsid w:val="00A629D2"/>
    <w:rsid w:val="00A93288"/>
    <w:rsid w:val="00A97FF6"/>
    <w:rsid w:val="00AA6766"/>
    <w:rsid w:val="00AC3485"/>
    <w:rsid w:val="00AE3CD8"/>
    <w:rsid w:val="00B343D9"/>
    <w:rsid w:val="00B37998"/>
    <w:rsid w:val="00B665D0"/>
    <w:rsid w:val="00B91860"/>
    <w:rsid w:val="00BA0F1E"/>
    <w:rsid w:val="00BA5DF5"/>
    <w:rsid w:val="00BB353A"/>
    <w:rsid w:val="00BB4BDC"/>
    <w:rsid w:val="00BD7341"/>
    <w:rsid w:val="00C2149E"/>
    <w:rsid w:val="00C35061"/>
    <w:rsid w:val="00C445D9"/>
    <w:rsid w:val="00C517F4"/>
    <w:rsid w:val="00C62A46"/>
    <w:rsid w:val="00C65296"/>
    <w:rsid w:val="00C72C3C"/>
    <w:rsid w:val="00C76448"/>
    <w:rsid w:val="00C8432C"/>
    <w:rsid w:val="00C85510"/>
    <w:rsid w:val="00CA2475"/>
    <w:rsid w:val="00CA282C"/>
    <w:rsid w:val="00CA2B38"/>
    <w:rsid w:val="00CB1601"/>
    <w:rsid w:val="00CE7791"/>
    <w:rsid w:val="00D02B1F"/>
    <w:rsid w:val="00D21267"/>
    <w:rsid w:val="00D3064C"/>
    <w:rsid w:val="00D37E27"/>
    <w:rsid w:val="00D73C03"/>
    <w:rsid w:val="00D76743"/>
    <w:rsid w:val="00DE4CB8"/>
    <w:rsid w:val="00E14652"/>
    <w:rsid w:val="00E166E2"/>
    <w:rsid w:val="00E555DB"/>
    <w:rsid w:val="00EC1341"/>
    <w:rsid w:val="00EC5623"/>
    <w:rsid w:val="00F33080"/>
    <w:rsid w:val="00F55205"/>
    <w:rsid w:val="00F5656C"/>
    <w:rsid w:val="00F945DC"/>
    <w:rsid w:val="01102C0E"/>
    <w:rsid w:val="018066AA"/>
    <w:rsid w:val="02304C1E"/>
    <w:rsid w:val="028B0F59"/>
    <w:rsid w:val="02DD26E3"/>
    <w:rsid w:val="02DD2FBE"/>
    <w:rsid w:val="033A72A6"/>
    <w:rsid w:val="037176C5"/>
    <w:rsid w:val="037C525F"/>
    <w:rsid w:val="050C1ED9"/>
    <w:rsid w:val="06BD7302"/>
    <w:rsid w:val="07725E9C"/>
    <w:rsid w:val="08BB0840"/>
    <w:rsid w:val="091D6A29"/>
    <w:rsid w:val="09A1370A"/>
    <w:rsid w:val="0AC66439"/>
    <w:rsid w:val="0B944B47"/>
    <w:rsid w:val="0BFB7931"/>
    <w:rsid w:val="0C593D29"/>
    <w:rsid w:val="0D3404CB"/>
    <w:rsid w:val="0E417C0E"/>
    <w:rsid w:val="0E5B62B4"/>
    <w:rsid w:val="0E5E095D"/>
    <w:rsid w:val="0EC5697A"/>
    <w:rsid w:val="0F1E7544"/>
    <w:rsid w:val="0FE908DB"/>
    <w:rsid w:val="10055116"/>
    <w:rsid w:val="10796FDE"/>
    <w:rsid w:val="10E031FB"/>
    <w:rsid w:val="11F65518"/>
    <w:rsid w:val="12605215"/>
    <w:rsid w:val="13650FAA"/>
    <w:rsid w:val="141E52F0"/>
    <w:rsid w:val="14AE4C51"/>
    <w:rsid w:val="14DD7AD0"/>
    <w:rsid w:val="14FA0805"/>
    <w:rsid w:val="15107EAA"/>
    <w:rsid w:val="15C664B9"/>
    <w:rsid w:val="16A01C95"/>
    <w:rsid w:val="16F222A3"/>
    <w:rsid w:val="17F01ED9"/>
    <w:rsid w:val="182517DE"/>
    <w:rsid w:val="182C17A9"/>
    <w:rsid w:val="183174EB"/>
    <w:rsid w:val="19A02BDF"/>
    <w:rsid w:val="19B3729C"/>
    <w:rsid w:val="1A311256"/>
    <w:rsid w:val="1AE04040"/>
    <w:rsid w:val="1B840E79"/>
    <w:rsid w:val="1BB14739"/>
    <w:rsid w:val="1BF14AE2"/>
    <w:rsid w:val="1C336CF4"/>
    <w:rsid w:val="1D991BF9"/>
    <w:rsid w:val="1E430D77"/>
    <w:rsid w:val="1F400061"/>
    <w:rsid w:val="1FB84F71"/>
    <w:rsid w:val="20C447E8"/>
    <w:rsid w:val="212E65DA"/>
    <w:rsid w:val="21E151FC"/>
    <w:rsid w:val="21ED6154"/>
    <w:rsid w:val="228A70D0"/>
    <w:rsid w:val="22BC5330"/>
    <w:rsid w:val="23F81BF8"/>
    <w:rsid w:val="24DB0F77"/>
    <w:rsid w:val="24EC4AF3"/>
    <w:rsid w:val="255670F9"/>
    <w:rsid w:val="2617065E"/>
    <w:rsid w:val="269B08D7"/>
    <w:rsid w:val="26D01826"/>
    <w:rsid w:val="27F756C2"/>
    <w:rsid w:val="280812F2"/>
    <w:rsid w:val="28490AC5"/>
    <w:rsid w:val="2AA13F0E"/>
    <w:rsid w:val="2AD64646"/>
    <w:rsid w:val="2B31629B"/>
    <w:rsid w:val="2B6D4422"/>
    <w:rsid w:val="2B9C021B"/>
    <w:rsid w:val="2D2B3EF4"/>
    <w:rsid w:val="2D6854D4"/>
    <w:rsid w:val="2F7E4B70"/>
    <w:rsid w:val="305D005B"/>
    <w:rsid w:val="31F07694"/>
    <w:rsid w:val="3210314E"/>
    <w:rsid w:val="326B191D"/>
    <w:rsid w:val="33131E8B"/>
    <w:rsid w:val="334B2D69"/>
    <w:rsid w:val="33964895"/>
    <w:rsid w:val="34220773"/>
    <w:rsid w:val="34583F07"/>
    <w:rsid w:val="34BA2498"/>
    <w:rsid w:val="358E6AC2"/>
    <w:rsid w:val="35F41131"/>
    <w:rsid w:val="36290647"/>
    <w:rsid w:val="36326608"/>
    <w:rsid w:val="364D1AB2"/>
    <w:rsid w:val="36AB745A"/>
    <w:rsid w:val="37156949"/>
    <w:rsid w:val="37941A01"/>
    <w:rsid w:val="37BC1E6F"/>
    <w:rsid w:val="390B1D84"/>
    <w:rsid w:val="3AE07279"/>
    <w:rsid w:val="3B0C0981"/>
    <w:rsid w:val="3C022DA4"/>
    <w:rsid w:val="3CD479C5"/>
    <w:rsid w:val="3D9E5D78"/>
    <w:rsid w:val="3E8B292B"/>
    <w:rsid w:val="3EA32471"/>
    <w:rsid w:val="3EC24CAD"/>
    <w:rsid w:val="3F38542B"/>
    <w:rsid w:val="40064A00"/>
    <w:rsid w:val="40CB0281"/>
    <w:rsid w:val="41F65FA1"/>
    <w:rsid w:val="43136590"/>
    <w:rsid w:val="43733E9E"/>
    <w:rsid w:val="43B577A2"/>
    <w:rsid w:val="44C8571B"/>
    <w:rsid w:val="44F228D9"/>
    <w:rsid w:val="466239A7"/>
    <w:rsid w:val="46844B32"/>
    <w:rsid w:val="46E046E0"/>
    <w:rsid w:val="470518CE"/>
    <w:rsid w:val="484258A0"/>
    <w:rsid w:val="48437CA2"/>
    <w:rsid w:val="4996550B"/>
    <w:rsid w:val="49A20C06"/>
    <w:rsid w:val="49B00776"/>
    <w:rsid w:val="4C1C1521"/>
    <w:rsid w:val="4C1F0D79"/>
    <w:rsid w:val="4C9929BA"/>
    <w:rsid w:val="4EA75356"/>
    <w:rsid w:val="4F657615"/>
    <w:rsid w:val="4F8D3500"/>
    <w:rsid w:val="50EE03A4"/>
    <w:rsid w:val="517C0A41"/>
    <w:rsid w:val="52D32F81"/>
    <w:rsid w:val="53716AF0"/>
    <w:rsid w:val="543E5274"/>
    <w:rsid w:val="54B32D33"/>
    <w:rsid w:val="56EA6BDE"/>
    <w:rsid w:val="56F66874"/>
    <w:rsid w:val="575E02A1"/>
    <w:rsid w:val="587049BC"/>
    <w:rsid w:val="5931573D"/>
    <w:rsid w:val="598B474F"/>
    <w:rsid w:val="59C8403E"/>
    <w:rsid w:val="59E2049D"/>
    <w:rsid w:val="5A487437"/>
    <w:rsid w:val="5AE405A9"/>
    <w:rsid w:val="5B2A4CEC"/>
    <w:rsid w:val="5B4F2FF0"/>
    <w:rsid w:val="5BC70A2F"/>
    <w:rsid w:val="5C210223"/>
    <w:rsid w:val="5C2A6EB6"/>
    <w:rsid w:val="5C6B4808"/>
    <w:rsid w:val="5D125434"/>
    <w:rsid w:val="5DAD0AC4"/>
    <w:rsid w:val="5F28261E"/>
    <w:rsid w:val="5F7E58AB"/>
    <w:rsid w:val="60967DA8"/>
    <w:rsid w:val="60CA46DB"/>
    <w:rsid w:val="622F6B07"/>
    <w:rsid w:val="62832366"/>
    <w:rsid w:val="62852998"/>
    <w:rsid w:val="62BB5F6E"/>
    <w:rsid w:val="63405731"/>
    <w:rsid w:val="642947EA"/>
    <w:rsid w:val="64A1558B"/>
    <w:rsid w:val="654D71F8"/>
    <w:rsid w:val="656B6ED8"/>
    <w:rsid w:val="65C272DC"/>
    <w:rsid w:val="65E41E24"/>
    <w:rsid w:val="660B13B1"/>
    <w:rsid w:val="663D5516"/>
    <w:rsid w:val="67436D8A"/>
    <w:rsid w:val="67EF36C5"/>
    <w:rsid w:val="68027D8C"/>
    <w:rsid w:val="688B301A"/>
    <w:rsid w:val="68A10546"/>
    <w:rsid w:val="6AAB7D5C"/>
    <w:rsid w:val="6C1705E3"/>
    <w:rsid w:val="6D005355"/>
    <w:rsid w:val="6EAA748C"/>
    <w:rsid w:val="6EE6387E"/>
    <w:rsid w:val="6FCC4EC8"/>
    <w:rsid w:val="705C65C7"/>
    <w:rsid w:val="733824D9"/>
    <w:rsid w:val="740F18F8"/>
    <w:rsid w:val="747D3A01"/>
    <w:rsid w:val="75863413"/>
    <w:rsid w:val="767D6A17"/>
    <w:rsid w:val="774E274E"/>
    <w:rsid w:val="77E37D01"/>
    <w:rsid w:val="785E3E56"/>
    <w:rsid w:val="79A41A9E"/>
    <w:rsid w:val="7A8D40EA"/>
    <w:rsid w:val="7DCF7F26"/>
    <w:rsid w:val="7DFB1065"/>
    <w:rsid w:val="7E0D6820"/>
    <w:rsid w:val="7E1D53A8"/>
    <w:rsid w:val="7E9E654D"/>
    <w:rsid w:val="7EA605BD"/>
    <w:rsid w:val="7EB50940"/>
    <w:rsid w:val="7F0F6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360" w:lineRule="auto"/>
      <w:outlineLvl w:val="2"/>
    </w:pPr>
    <w:rPr>
      <w:b/>
      <w:bCs/>
      <w:sz w:val="24"/>
      <w:szCs w:val="32"/>
    </w:rPr>
  </w:style>
  <w:style w:type="paragraph" w:styleId="5">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Plain Text"/>
    <w:basedOn w:val="1"/>
    <w:qFormat/>
    <w:uiPriority w:val="0"/>
    <w:rPr>
      <w:rFonts w:ascii="宋体" w:hAnsi="Courier New"/>
      <w:szCs w:val="2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customStyle="1" w:styleId="14">
    <w:name w:val="正文文本缩进 21"/>
    <w:basedOn w:val="1"/>
    <w:qFormat/>
    <w:uiPriority w:val="0"/>
    <w:pPr>
      <w:ind w:firstLine="560" w:firstLineChars="200"/>
    </w:pPr>
    <w:rPr>
      <w:kern w:val="0"/>
      <w:sz w:val="28"/>
    </w:rPr>
  </w:style>
  <w:style w:type="paragraph" w:customStyle="1" w:styleId="15">
    <w:name w:val="正文文本缩进1"/>
    <w:basedOn w:val="1"/>
    <w:qFormat/>
    <w:uiPriority w:val="0"/>
    <w:pPr>
      <w:ind w:firstLine="528"/>
    </w:pPr>
    <w:rPr>
      <w:kern w:val="0"/>
      <w:sz w:val="28"/>
    </w:rPr>
  </w:style>
  <w:style w:type="character" w:customStyle="1" w:styleId="16">
    <w:name w:val="font11"/>
    <w:qFormat/>
    <w:uiPriority w:val="0"/>
    <w:rPr>
      <w:rFonts w:hint="eastAsia" w:ascii="宋体" w:hAnsi="宋体" w:eastAsia="宋体" w:cs="宋体"/>
      <w:color w:val="000000"/>
      <w:sz w:val="24"/>
      <w:szCs w:val="24"/>
      <w:u w:val="none"/>
      <w:vertAlign w:val="superscript"/>
    </w:rPr>
  </w:style>
  <w:style w:type="paragraph" w:customStyle="1" w:styleId="17">
    <w:name w:val="列出段落1"/>
    <w:basedOn w:val="1"/>
    <w:unhideWhenUsed/>
    <w:qFormat/>
    <w:uiPriority w:val="99"/>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character" w:customStyle="1" w:styleId="19">
    <w:name w:val="批注框文本 Char"/>
    <w:basedOn w:val="13"/>
    <w:link w:val="7"/>
    <w:qFormat/>
    <w:uiPriority w:val="0"/>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584</Words>
  <Characters>3334</Characters>
  <Lines>27</Lines>
  <Paragraphs>7</Paragraphs>
  <TotalTime>5</TotalTime>
  <ScaleCrop>false</ScaleCrop>
  <LinksUpToDate>false</LinksUpToDate>
  <CharactersWithSpaces>3911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2018-08-10T01:01:00Z</dcterms:created>
  <dc:creator>叶子</dc:creator>
  <cp:lastModifiedBy>Administrator</cp:lastModifiedBy>
  <dcterms:modified xsi:type="dcterms:W3CDTF">2021-12-24T07:11:01Z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