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低氮增碳剂</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w:t>
      </w:r>
      <w:r>
        <w:rPr>
          <w:rFonts w:hint="eastAsia"/>
          <w:color w:val="000000"/>
          <w:sz w:val="24"/>
          <w:szCs w:val="24"/>
        </w:rPr>
        <w:t>月</w:t>
      </w:r>
      <w:r>
        <w:rPr>
          <w:rFonts w:hint="eastAsia"/>
          <w:color w:val="000000"/>
          <w:sz w:val="24"/>
          <w:szCs w:val="24"/>
          <w:u w:val="single"/>
          <w:lang w:val="en-US" w:eastAsia="zh-CN"/>
        </w:rPr>
        <w:t>5</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2022001001DDZTJ</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低氮增碳剂</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pStyle w:val="2"/>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炼  钢  部：       王  工    15655389634</w:t>
      </w:r>
    </w:p>
    <w:p>
      <w:pPr>
        <w:rPr>
          <w:rFonts w:hint="default"/>
          <w:lang w:val="en-US" w:eastAsia="zh-CN"/>
        </w:rPr>
      </w:pPr>
      <w:r>
        <w:rPr>
          <w:rFonts w:hint="eastAsia" w:ascii="宋体" w:hAnsi="宋体" w:cs="Times New Roman"/>
          <w:kern w:val="2"/>
          <w:sz w:val="24"/>
          <w:szCs w:val="24"/>
          <w:highlight w:val="none"/>
          <w:lang w:val="en-US" w:eastAsia="zh-CN" w:bidi="ar-SA"/>
        </w:rPr>
        <w:t>铸  件  部：       郭  工    18155369211</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1</w:t>
      </w:r>
      <w:r>
        <w:rPr>
          <w:rFonts w:ascii="宋体" w:hAnsi="宋体"/>
          <w:bCs/>
          <w:sz w:val="24"/>
          <w:szCs w:val="24"/>
        </w:rPr>
        <w:t>月</w:t>
      </w:r>
      <w:r>
        <w:rPr>
          <w:rFonts w:hint="eastAsia" w:ascii="宋体" w:hAnsi="宋体"/>
          <w:bCs/>
          <w:sz w:val="24"/>
          <w:szCs w:val="24"/>
          <w:u w:val="single"/>
          <w:lang w:val="en-US" w:eastAsia="zh-CN"/>
        </w:rPr>
        <w:t>12</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1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13</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下午</w:t>
      </w:r>
      <w:r>
        <w:rPr>
          <w:rFonts w:hint="eastAsia"/>
          <w:color w:val="2A2A2A"/>
          <w:sz w:val="24"/>
          <w:szCs w:val="24"/>
          <w:u w:val="single"/>
          <w:shd w:val="clear" w:color="auto" w:fill="FFFFFF"/>
          <w:lang w:val="en-US" w:eastAsia="zh-CN"/>
        </w:rPr>
        <w:t>13:30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12</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bookmarkStart w:id="0" w:name="_GoBack"/>
      <w:bookmarkEnd w:id="0"/>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1、满足业主单位生产使用要求及附件技术要求。</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2、本次招标招三个月的供货量，低氮增碳剂约630吨（该数量为3个月理论需求数量，具体供货数量以生产单位实际用量为准，具体供货时间以商务部门通知为准。</w:t>
      </w:r>
    </w:p>
    <w:p>
      <w:pPr>
        <w:numPr>
          <w:ilvl w:val="0"/>
          <w:numId w:val="0"/>
        </w:numPr>
        <w:spacing w:line="360" w:lineRule="auto"/>
        <w:ind w:left="840" w:leftChars="0"/>
        <w:rPr>
          <w:rFonts w:hint="eastAsia"/>
          <w:lang w:val="en-US" w:eastAsia="zh-CN"/>
        </w:rPr>
      </w:pPr>
      <w:r>
        <w:rPr>
          <w:rFonts w:hint="eastAsia" w:ascii="宋体" w:hAnsi="宋体"/>
          <w:b/>
          <w:color w:val="FF0000"/>
          <w:sz w:val="24"/>
          <w:szCs w:val="24"/>
          <w:lang w:val="en-US" w:eastAsia="zh-CN"/>
        </w:rPr>
        <w:t>3、参标单位必须满足招标数量要求。</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4、</w:t>
      </w:r>
      <w:r>
        <w:rPr>
          <w:rFonts w:hint="eastAsia" w:ascii="宋体" w:hAnsi="宋体" w:cs="Times New Roman"/>
          <w:b/>
          <w:color w:val="FF0000"/>
          <w:sz w:val="24"/>
          <w:szCs w:val="24"/>
          <w:lang w:val="en-US" w:eastAsia="zh-CN"/>
        </w:rPr>
        <w:t>业绩要求：参标单位需提供一份2019年至今对钢企的低氮增碳剂的供货合同。</w:t>
      </w:r>
    </w:p>
    <w:p>
      <w:pPr>
        <w:numPr>
          <w:ilvl w:val="0"/>
          <w:numId w:val="0"/>
        </w:numPr>
        <w:spacing w:line="360" w:lineRule="auto"/>
        <w:ind w:left="840" w:leftChars="0"/>
        <w:rPr>
          <w:rFonts w:hint="default"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5、参标厂家要求具有一定的生产能力。</w:t>
      </w:r>
    </w:p>
    <w:p>
      <w:pPr>
        <w:numPr>
          <w:ilvl w:val="0"/>
          <w:numId w:val="0"/>
        </w:numPr>
        <w:spacing w:line="360" w:lineRule="auto"/>
        <w:ind w:left="840" w:leftChars="0"/>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rPr>
          <w:rFonts w:hint="eastAsia" w:ascii="宋体" w:hAnsi="宋体"/>
          <w:b/>
          <w:color w:val="FF0000"/>
          <w:sz w:val="24"/>
          <w:szCs w:val="24"/>
        </w:rPr>
      </w:pPr>
    </w:p>
    <w:p>
      <w:pPr>
        <w:pStyle w:val="2"/>
        <w:rPr>
          <w:rFonts w:hint="eastAsia"/>
        </w:rPr>
      </w:pPr>
    </w:p>
    <w:p>
      <w:pPr>
        <w:jc w:val="both"/>
        <w:rPr>
          <w:b/>
          <w:sz w:val="24"/>
          <w:szCs w:val="24"/>
        </w:rPr>
      </w:pPr>
    </w:p>
    <w:p>
      <w:pPr>
        <w:pStyle w:val="2"/>
        <w:rPr>
          <w:b/>
          <w:sz w:val="24"/>
          <w:szCs w:val="24"/>
        </w:rPr>
      </w:pPr>
    </w:p>
    <w:p>
      <w:pPr>
        <w:rPr>
          <w:b/>
          <w:sz w:val="24"/>
          <w:szCs w:val="24"/>
        </w:rPr>
      </w:pPr>
    </w:p>
    <w:p>
      <w:pPr>
        <w:pStyle w:val="2"/>
        <w:rPr>
          <w:b/>
          <w:sz w:val="24"/>
          <w:szCs w:val="24"/>
        </w:rPr>
      </w:pP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1</w:t>
      </w:r>
      <w:r>
        <w:rPr>
          <w:rFonts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w:t>
      </w:r>
    </w:p>
    <w:p>
      <w:pPr>
        <w:pStyle w:val="2"/>
        <w:rPr>
          <w:rFonts w:hint="eastAsia"/>
        </w:rPr>
      </w:pPr>
    </w:p>
    <w:p>
      <w:pPr>
        <w:jc w:val="center"/>
        <w:rPr>
          <w:rFonts w:hint="eastAsia"/>
          <w:b/>
          <w:color w:val="auto"/>
          <w:sz w:val="36"/>
          <w:szCs w:val="36"/>
          <w:u w:val="none" w:color="auto"/>
          <w:lang w:eastAsia="zh-CN"/>
        </w:rPr>
      </w:pPr>
      <w:r>
        <w:rPr>
          <w:rFonts w:hint="eastAsia"/>
          <w:b/>
          <w:color w:val="auto"/>
          <w:sz w:val="36"/>
          <w:szCs w:val="36"/>
          <w:u w:val="none" w:color="auto"/>
        </w:rPr>
        <w:t>低氮增碳剂</w:t>
      </w:r>
      <w:r>
        <w:rPr>
          <w:rFonts w:hint="eastAsia"/>
          <w:b/>
          <w:color w:val="auto"/>
          <w:sz w:val="36"/>
          <w:szCs w:val="36"/>
          <w:u w:val="none" w:color="auto"/>
          <w:lang w:val="en-US" w:eastAsia="zh-CN"/>
        </w:rPr>
        <w:t>质</w:t>
      </w:r>
      <w:r>
        <w:rPr>
          <w:rFonts w:hint="eastAsia"/>
          <w:b/>
          <w:color w:val="auto"/>
          <w:sz w:val="36"/>
          <w:szCs w:val="36"/>
          <w:u w:val="none" w:color="auto"/>
          <w:lang w:eastAsia="zh-CN"/>
        </w:rPr>
        <w:t>量标准技术统一平台</w:t>
      </w:r>
    </w:p>
    <w:p>
      <w:pPr>
        <w:keepNext w:val="0"/>
        <w:keepLines w:val="0"/>
        <w:pageBreakBefore w:val="0"/>
        <w:widowControl w:val="0"/>
        <w:numPr>
          <w:ilvl w:val="0"/>
          <w:numId w:val="8"/>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范围</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本标准规定了炼钢低氮增碳剂的采购标准、让步接受条件、不合格处理及送货要求。</w:t>
      </w:r>
    </w:p>
    <w:p>
      <w:pPr>
        <w:keepNext w:val="0"/>
        <w:keepLines w:val="0"/>
        <w:pageBreakBefore w:val="0"/>
        <w:widowControl w:val="0"/>
        <w:numPr>
          <w:ilvl w:val="0"/>
          <w:numId w:val="9"/>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技术要求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2.1检验项目</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FC%；St.d%；H2O%；N%；粒度</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2.2检验标准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FC≥98%；St.d≤0.05%；H2O≤0.5%；N≤300ppm；粒度：1～5mm；小于1mm的比例≤5%；大于5mm的比例≤1%</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2.3让步接受条件</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FC≥96%；St.d≤0.15%；H2O≤0.7%；N≤400ppm；小于1mm的比例≤7%；大于5mm的比例≤2%</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2.4不合格处理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1、FC超出标准在让步接收范围内，97%≤C＜98%间，每下降0.1%，合同价格降0.5%;96%≤C＜97%间，每下降0.1%，合同价格降1%；超出让步范围原则上退货或改判为普通增碳剂结算。</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2、St.d超出标准在让步范围内，每上升0.01%，合同价格降0.5%；超出让步退货或改判普通增碳剂结算。</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3、0.5%＜H2O≤0.7%，每增加0.1%，合同价格降2%，H2O＞0.7%，作退货处理。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4、N超出标准在让步范围内，300ppm&lt;[N]≤400ppm，每上升1ppm，合同价格降0.1%，超出400ppm（0.04%），按拒收或普通增碳剂结算。</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5、粒度超出标准在让步范围内，按超出部分扣吨。超出让步退货或按超出吨位双倍扣吨</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2" w:firstLineChars="200"/>
        <w:jc w:val="left"/>
        <w:textAlignment w:val="auto"/>
        <w:outlineLvl w:val="9"/>
        <w:rPr>
          <w:rFonts w:hint="eastAsia"/>
          <w:b w:val="0"/>
          <w:bCs/>
          <w:color w:val="auto"/>
          <w:sz w:val="24"/>
          <w:szCs w:val="24"/>
          <w:u w:val="none" w:color="auto"/>
          <w:lang w:val="en-US" w:eastAsia="zh-CN"/>
        </w:rPr>
      </w:pPr>
      <w:r>
        <w:rPr>
          <w:rFonts w:hint="eastAsia"/>
          <w:b/>
          <w:bCs w:val="0"/>
          <w:color w:val="auto"/>
          <w:sz w:val="24"/>
          <w:szCs w:val="24"/>
          <w:u w:val="none" w:color="auto"/>
          <w:lang w:val="en-US" w:eastAsia="zh-CN"/>
        </w:rPr>
        <w:t>3.其他要求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3.1</w:t>
      </w:r>
      <w:r>
        <w:rPr>
          <w:rFonts w:hint="default"/>
          <w:b w:val="0"/>
          <w:bCs/>
          <w:color w:val="auto"/>
          <w:sz w:val="24"/>
          <w:szCs w:val="24"/>
          <w:u w:val="none" w:color="auto"/>
          <w:lang w:val="en-US" w:eastAsia="zh-CN"/>
        </w:rPr>
        <w:t>包装要求：</w:t>
      </w:r>
      <w:r>
        <w:rPr>
          <w:rFonts w:hint="eastAsia"/>
          <w:b w:val="0"/>
          <w:bCs/>
          <w:color w:val="auto"/>
          <w:sz w:val="24"/>
          <w:szCs w:val="24"/>
          <w:u w:val="none" w:color="auto"/>
          <w:lang w:val="en-US" w:eastAsia="zh-CN"/>
        </w:rPr>
        <w:t>内小袋重量</w:t>
      </w:r>
      <w:r>
        <w:rPr>
          <w:rFonts w:hint="default"/>
          <w:b w:val="0"/>
          <w:bCs/>
          <w:color w:val="auto"/>
          <w:sz w:val="24"/>
          <w:szCs w:val="24"/>
          <w:u w:val="none" w:color="auto"/>
          <w:lang w:val="en-US" w:eastAsia="zh-CN"/>
        </w:rPr>
        <w:t>15±0.2KG。四层包装，</w:t>
      </w:r>
      <w:r>
        <w:rPr>
          <w:rFonts w:hint="eastAsia"/>
          <w:b w:val="0"/>
          <w:bCs/>
          <w:color w:val="auto"/>
          <w:sz w:val="24"/>
          <w:szCs w:val="24"/>
          <w:u w:val="none" w:color="auto"/>
          <w:lang w:val="en-US" w:eastAsia="zh-CN"/>
        </w:rPr>
        <w:t>做好防潮措施，吨袋包装外层和小袋包装外层为编织袋，吨袋包装内层和小袋包装内层为厚塑料袋。塑料袋具有一定强度，保证质量，不易刺破，起到防潮效果，吨袋内膜要求扎口。吨袋</w:t>
      </w:r>
      <w:r>
        <w:rPr>
          <w:rFonts w:hint="default"/>
          <w:b w:val="0"/>
          <w:bCs/>
          <w:color w:val="auto"/>
          <w:sz w:val="24"/>
          <w:szCs w:val="24"/>
          <w:u w:val="none" w:color="auto"/>
          <w:lang w:val="en-US" w:eastAsia="zh-CN"/>
        </w:rPr>
        <w:t>包装袋上必须注明物资名称、生产厂家、包装重量</w:t>
      </w:r>
      <w:r>
        <w:rPr>
          <w:rFonts w:hint="eastAsia"/>
          <w:b w:val="0"/>
          <w:bCs/>
          <w:color w:val="auto"/>
          <w:sz w:val="24"/>
          <w:szCs w:val="24"/>
          <w:u w:val="none" w:color="auto"/>
          <w:lang w:val="en-US" w:eastAsia="zh-CN"/>
        </w:rPr>
        <w:t>、生产日期</w:t>
      </w:r>
      <w:r>
        <w:rPr>
          <w:rFonts w:hint="default"/>
          <w:b w:val="0"/>
          <w:bCs/>
          <w:color w:val="auto"/>
          <w:sz w:val="24"/>
          <w:szCs w:val="24"/>
          <w:u w:val="none" w:color="auto"/>
          <w:lang w:val="en-US" w:eastAsia="zh-CN"/>
        </w:rPr>
        <w:t>等信息</w:t>
      </w:r>
      <w:r>
        <w:rPr>
          <w:rFonts w:hint="eastAsia"/>
          <w:b w:val="0"/>
          <w:bCs/>
          <w:color w:val="auto"/>
          <w:sz w:val="24"/>
          <w:szCs w:val="24"/>
          <w:u w:val="none" w:color="auto"/>
          <w:lang w:val="en-US" w:eastAsia="zh-CN"/>
        </w:rPr>
        <w:t>，小包装袋上必须注明物资名称、重量等信息。</w:t>
      </w:r>
      <w:r>
        <w:rPr>
          <w:rFonts w:hint="default"/>
          <w:b w:val="0"/>
          <w:bCs/>
          <w:color w:val="auto"/>
          <w:sz w:val="24"/>
          <w:szCs w:val="24"/>
          <w:u w:val="none" w:color="auto"/>
          <w:lang w:val="en-US" w:eastAsia="zh-CN"/>
        </w:rPr>
        <w:t>如包装重量发生变化，提前通知供货厂家并进行调整。大袋包装重量为</w:t>
      </w:r>
      <w:r>
        <w:rPr>
          <w:rFonts w:hint="eastAsia"/>
          <w:b w:val="0"/>
          <w:bCs/>
          <w:color w:val="auto"/>
          <w:sz w:val="24"/>
          <w:szCs w:val="24"/>
          <w:u w:val="none" w:color="auto"/>
          <w:lang w:val="en-US" w:eastAsia="zh-CN"/>
        </w:rPr>
        <w:t>60</w:t>
      </w:r>
      <w:r>
        <w:rPr>
          <w:rFonts w:hint="default"/>
          <w:b w:val="0"/>
          <w:bCs/>
          <w:color w:val="auto"/>
          <w:sz w:val="24"/>
          <w:szCs w:val="24"/>
          <w:u w:val="none" w:color="auto"/>
          <w:lang w:val="en-US" w:eastAsia="zh-CN"/>
        </w:rPr>
        <w:t>0公斤包装。</w:t>
      </w:r>
      <w:r>
        <w:rPr>
          <w:rFonts w:hint="eastAsia"/>
          <w:b w:val="0"/>
          <w:bCs/>
          <w:color w:val="auto"/>
          <w:sz w:val="24"/>
          <w:szCs w:val="24"/>
          <w:u w:val="none" w:color="auto"/>
          <w:lang w:val="en-US" w:eastAsia="zh-CN"/>
        </w:rPr>
        <w:t>包装袋供方不回收。包装不符合要求的按200元/袋落实考核。</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szCs w:val="24"/>
          <w:u w:val="none" w:color="auto"/>
        </w:rPr>
      </w:pPr>
      <w:r>
        <w:rPr>
          <w:rFonts w:hint="eastAsia"/>
          <w:b w:val="0"/>
          <w:bCs/>
          <w:color w:val="auto"/>
          <w:sz w:val="24"/>
          <w:szCs w:val="24"/>
          <w:u w:val="none" w:color="auto"/>
          <w:lang w:val="en-US" w:eastAsia="zh-CN"/>
        </w:rPr>
        <w:t>3.2</w:t>
      </w:r>
      <w:r>
        <w:rPr>
          <w:rFonts w:hint="default" w:ascii="Times New Roman" w:hAnsi="Times New Roman" w:cs="Times New Roman"/>
          <w:b w:val="0"/>
          <w:bCs/>
          <w:color w:val="auto"/>
          <w:sz w:val="24"/>
          <w:szCs w:val="24"/>
          <w:u w:val="none" w:color="auto"/>
        </w:rPr>
        <w:t>包装吨袋质量必须保证，如果因为吨袋质量问题导致在卸货过程中出现漏料、撒料的情况，全部责任由供方承担。</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jc w:val="left"/>
        <w:textAlignment w:val="auto"/>
        <w:outlineLvl w:val="9"/>
        <w:rPr>
          <w:rFonts w:hint="eastAsia"/>
          <w:b w:val="0"/>
          <w:bCs/>
          <w:color w:val="auto"/>
          <w:sz w:val="24"/>
          <w:szCs w:val="24"/>
          <w:u w:val="none" w:color="auto"/>
          <w:lang w:val="en-US" w:eastAsia="zh-CN"/>
        </w:rPr>
      </w:pPr>
      <w:r>
        <w:rPr>
          <w:rFonts w:hint="eastAsia"/>
          <w:b/>
          <w:bCs w:val="0"/>
          <w:color w:val="auto"/>
          <w:sz w:val="24"/>
          <w:szCs w:val="24"/>
          <w:u w:val="none" w:color="auto"/>
          <w:lang w:val="en-US" w:eastAsia="zh-CN"/>
        </w:rPr>
        <w:t>4.送货要求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进厂卸货服从我方管理。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Chars="0" w:right="0" w:rightChars="0"/>
        <w:jc w:val="left"/>
        <w:textAlignment w:val="auto"/>
        <w:outlineLvl w:val="9"/>
        <w:rPr>
          <w:rFonts w:hint="eastAsia" w:cs="Times New Roman"/>
          <w:b/>
          <w:bCs w:val="0"/>
          <w:color w:val="auto"/>
          <w:sz w:val="24"/>
          <w:szCs w:val="24"/>
          <w:u w:val="none" w:color="auto"/>
          <w:lang w:val="en-US" w:eastAsia="zh-CN"/>
        </w:rPr>
      </w:pPr>
      <w:r>
        <w:rPr>
          <w:rFonts w:hint="eastAsia" w:cs="Times New Roman"/>
          <w:b/>
          <w:bCs w:val="0"/>
          <w:color w:val="auto"/>
          <w:sz w:val="24"/>
          <w:szCs w:val="24"/>
          <w:u w:val="none" w:color="auto"/>
          <w:lang w:val="en-US" w:eastAsia="zh-CN"/>
        </w:rPr>
        <w:t>5.卸货地点</w:t>
      </w:r>
    </w:p>
    <w:p>
      <w:pPr>
        <w:jc w:val="left"/>
        <w:rPr>
          <w:rFonts w:hint="eastAsia"/>
          <w:b w:val="0"/>
          <w:bCs/>
          <w:color w:val="FFFFFF"/>
          <w:sz w:val="28"/>
          <w:szCs w:val="28"/>
          <w:u w:val="none" w:color="auto"/>
          <w:lang w:val="en-US" w:eastAsia="zh-CN"/>
        </w:rPr>
      </w:pPr>
      <w:r>
        <w:rPr>
          <w:rFonts w:hint="eastAsia" w:cs="Times New Roman"/>
          <w:b w:val="0"/>
          <w:bCs/>
          <w:color w:val="auto"/>
          <w:sz w:val="24"/>
          <w:szCs w:val="24"/>
          <w:u w:val="none" w:color="auto"/>
          <w:lang w:val="en-US" w:eastAsia="zh-CN"/>
        </w:rPr>
        <w:t>低氮增碳剂卸至炼钢部库房。</w:t>
      </w:r>
      <w:r>
        <w:rPr>
          <w:rFonts w:hint="eastAsia"/>
          <w:b w:val="0"/>
          <w:bCs/>
          <w:color w:val="FFFFFF"/>
          <w:sz w:val="28"/>
          <w:szCs w:val="28"/>
          <w:u w:val="none" w:color="auto"/>
          <w:lang w:val="en-US" w:eastAsia="zh-CN"/>
        </w:rPr>
        <w:t>税到厂价。</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低氮增碳剂</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6"/>
    <w:multiLevelType w:val="singleLevel"/>
    <w:tmpl w:val="00000006"/>
    <w:lvl w:ilvl="0" w:tentative="0">
      <w:start w:val="2"/>
      <w:numFmt w:val="decimal"/>
      <w:suff w:val="nothing"/>
      <w:lvlText w:val="%1."/>
      <w:lvlJc w:val="left"/>
    </w:lvl>
  </w:abstractNum>
  <w:abstractNum w:abstractNumId="3">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4">
    <w:nsid w:val="0000000B"/>
    <w:multiLevelType w:val="singleLevel"/>
    <w:tmpl w:val="0000000B"/>
    <w:lvl w:ilvl="0" w:tentative="0">
      <w:start w:val="1"/>
      <w:numFmt w:val="decimal"/>
      <w:lvlText w:val="（%1）"/>
      <w:lvlJc w:val="left"/>
      <w:pPr>
        <w:tabs>
          <w:tab w:val="left" w:pos="1125"/>
        </w:tabs>
        <w:ind w:left="1125" w:hanging="705"/>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singleLevel"/>
    <w:tmpl w:val="0000000E"/>
    <w:lvl w:ilvl="0" w:tentative="0">
      <w:start w:val="1"/>
      <w:numFmt w:val="decimal"/>
      <w:lvlText w:val="%1、"/>
      <w:lvlJc w:val="left"/>
      <w:pPr>
        <w:tabs>
          <w:tab w:val="left" w:pos="705"/>
        </w:tabs>
        <w:ind w:left="705" w:hanging="420"/>
      </w:pPr>
    </w:lvl>
  </w:abstractNum>
  <w:abstractNum w:abstractNumId="8">
    <w:nsid w:val="2C64BC62"/>
    <w:multiLevelType w:val="singleLevel"/>
    <w:tmpl w:val="2C64BC62"/>
    <w:lvl w:ilvl="0" w:tentative="0">
      <w:start w:val="1"/>
      <w:numFmt w:val="decimal"/>
      <w:lvlText w:val="%1."/>
      <w:lvlJc w:val="left"/>
      <w:pPr>
        <w:ind w:left="425" w:hanging="425"/>
      </w:pPr>
      <w:rPr>
        <w:rFonts w:hint="default"/>
      </w:rPr>
    </w:lvl>
  </w:abstractNum>
  <w:abstractNum w:abstractNumId="9">
    <w:nsid w:val="5AE2DA4B"/>
    <w:multiLevelType w:val="singleLevel"/>
    <w:tmpl w:val="5AE2DA4B"/>
    <w:lvl w:ilvl="0" w:tentative="0">
      <w:start w:val="14"/>
      <w:numFmt w:val="chineseCounting"/>
      <w:suff w:val="nothing"/>
      <w:lvlText w:val="%1、"/>
      <w:lvlJc w:val="left"/>
      <w:rPr>
        <w:rFonts w:hint="eastAsia"/>
      </w:rPr>
    </w:lvl>
  </w:abstractNum>
  <w:num w:numId="1">
    <w:abstractNumId w:val="3"/>
    <w:lvlOverride w:ilvl="0">
      <w:startOverride w:val="1"/>
    </w:lvlOverride>
  </w:num>
  <w:num w:numId="2">
    <w:abstractNumId w:val="7"/>
    <w:lvlOverride w:ilvl="0">
      <w:startOverride w:val="1"/>
    </w:lvlOverride>
  </w:num>
  <w:num w:numId="3">
    <w:abstractNumId w:val="6"/>
    <w:lvlOverride w:ilvl="0">
      <w:startOverride w:val="1"/>
    </w:lvlOverride>
  </w:num>
  <w:num w:numId="4">
    <w:abstractNumId w:val="4"/>
    <w:lvlOverride w:ilvl="0">
      <w:startOverride w:val="1"/>
    </w:lvlOverride>
  </w:num>
  <w:num w:numId="5">
    <w:abstractNumId w:val="5"/>
  </w:num>
  <w:num w:numId="6">
    <w:abstractNumId w:val="8"/>
  </w:num>
  <w:num w:numId="7">
    <w:abstractNumId w:val="9"/>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CB7169"/>
    <w:rsid w:val="07BA48CA"/>
    <w:rsid w:val="07F32621"/>
    <w:rsid w:val="08024924"/>
    <w:rsid w:val="0831406E"/>
    <w:rsid w:val="083A4C2B"/>
    <w:rsid w:val="085B58B3"/>
    <w:rsid w:val="08A2100E"/>
    <w:rsid w:val="08A96692"/>
    <w:rsid w:val="08C72732"/>
    <w:rsid w:val="090F2391"/>
    <w:rsid w:val="097B7AE5"/>
    <w:rsid w:val="0AF63A42"/>
    <w:rsid w:val="0B106156"/>
    <w:rsid w:val="0B187AA4"/>
    <w:rsid w:val="0B5E1A54"/>
    <w:rsid w:val="0BFF25BD"/>
    <w:rsid w:val="0CBC295F"/>
    <w:rsid w:val="0D2F279C"/>
    <w:rsid w:val="0DCC0A80"/>
    <w:rsid w:val="0DF07D84"/>
    <w:rsid w:val="0E012A71"/>
    <w:rsid w:val="0E497616"/>
    <w:rsid w:val="0E842CB1"/>
    <w:rsid w:val="0EEB0BB2"/>
    <w:rsid w:val="0F0803D8"/>
    <w:rsid w:val="0F347211"/>
    <w:rsid w:val="0FA76F34"/>
    <w:rsid w:val="10031B51"/>
    <w:rsid w:val="10094A89"/>
    <w:rsid w:val="10CA64E1"/>
    <w:rsid w:val="110928F7"/>
    <w:rsid w:val="114D2C06"/>
    <w:rsid w:val="115832F0"/>
    <w:rsid w:val="11654D47"/>
    <w:rsid w:val="11BA6270"/>
    <w:rsid w:val="12623A3F"/>
    <w:rsid w:val="131E40C5"/>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8F65F88"/>
    <w:rsid w:val="190E09F1"/>
    <w:rsid w:val="19B16948"/>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4B04E8"/>
    <w:rsid w:val="22B96773"/>
    <w:rsid w:val="22E00851"/>
    <w:rsid w:val="235C23EB"/>
    <w:rsid w:val="23701C2F"/>
    <w:rsid w:val="23CB766B"/>
    <w:rsid w:val="23CE57C2"/>
    <w:rsid w:val="23D22DCD"/>
    <w:rsid w:val="246A25A2"/>
    <w:rsid w:val="25206CD2"/>
    <w:rsid w:val="25230E4D"/>
    <w:rsid w:val="25466F1F"/>
    <w:rsid w:val="258E0AE8"/>
    <w:rsid w:val="25B129B0"/>
    <w:rsid w:val="266100F9"/>
    <w:rsid w:val="268D7081"/>
    <w:rsid w:val="26F50CB1"/>
    <w:rsid w:val="26F906B4"/>
    <w:rsid w:val="27233601"/>
    <w:rsid w:val="278055FF"/>
    <w:rsid w:val="288D3DC5"/>
    <w:rsid w:val="28A22ADC"/>
    <w:rsid w:val="28B030F4"/>
    <w:rsid w:val="28D56B7C"/>
    <w:rsid w:val="28E2171B"/>
    <w:rsid w:val="28F7675F"/>
    <w:rsid w:val="29401D6D"/>
    <w:rsid w:val="2ACB0AF1"/>
    <w:rsid w:val="2AD52E64"/>
    <w:rsid w:val="2BBB5AD5"/>
    <w:rsid w:val="2BF10F3E"/>
    <w:rsid w:val="2BF40243"/>
    <w:rsid w:val="2BFD06EE"/>
    <w:rsid w:val="2C1A2642"/>
    <w:rsid w:val="2C204052"/>
    <w:rsid w:val="2C4E01C4"/>
    <w:rsid w:val="2CF31D5E"/>
    <w:rsid w:val="2DCF44E2"/>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3BC4094"/>
    <w:rsid w:val="33DE5B5C"/>
    <w:rsid w:val="342060A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B9612A"/>
    <w:rsid w:val="3AFC391A"/>
    <w:rsid w:val="3B14535E"/>
    <w:rsid w:val="3C036E6F"/>
    <w:rsid w:val="3C3E683E"/>
    <w:rsid w:val="3C456A69"/>
    <w:rsid w:val="3C487023"/>
    <w:rsid w:val="3C887586"/>
    <w:rsid w:val="3CD340E5"/>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46C7AC2"/>
    <w:rsid w:val="4500284B"/>
    <w:rsid w:val="45407B03"/>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D23274F"/>
    <w:rsid w:val="4D7B2123"/>
    <w:rsid w:val="4D817459"/>
    <w:rsid w:val="4DC66F68"/>
    <w:rsid w:val="4E091027"/>
    <w:rsid w:val="4E0E6243"/>
    <w:rsid w:val="4E1D39CD"/>
    <w:rsid w:val="4ED37EC9"/>
    <w:rsid w:val="510A2956"/>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B606CC"/>
    <w:rsid w:val="56FF0A43"/>
    <w:rsid w:val="578238C5"/>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915ACD"/>
    <w:rsid w:val="5E093F5D"/>
    <w:rsid w:val="5E14032D"/>
    <w:rsid w:val="5E611270"/>
    <w:rsid w:val="5EB2026E"/>
    <w:rsid w:val="5EEF2412"/>
    <w:rsid w:val="5F5D00D1"/>
    <w:rsid w:val="5F8C3E89"/>
    <w:rsid w:val="5FA30C9C"/>
    <w:rsid w:val="5FE13E30"/>
    <w:rsid w:val="60883A59"/>
    <w:rsid w:val="60A608A8"/>
    <w:rsid w:val="61033D16"/>
    <w:rsid w:val="623E76D0"/>
    <w:rsid w:val="625B24D7"/>
    <w:rsid w:val="62CD795C"/>
    <w:rsid w:val="63825779"/>
    <w:rsid w:val="64191A38"/>
    <w:rsid w:val="6438579B"/>
    <w:rsid w:val="655749FB"/>
    <w:rsid w:val="65E5671A"/>
    <w:rsid w:val="66EA0C9A"/>
    <w:rsid w:val="66FB3BC1"/>
    <w:rsid w:val="67023348"/>
    <w:rsid w:val="6753255C"/>
    <w:rsid w:val="678F7868"/>
    <w:rsid w:val="686F59C5"/>
    <w:rsid w:val="68985C4A"/>
    <w:rsid w:val="68BB275A"/>
    <w:rsid w:val="695E0A51"/>
    <w:rsid w:val="6A570BC4"/>
    <w:rsid w:val="6AE04711"/>
    <w:rsid w:val="6AE713EB"/>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C38CA"/>
    <w:rsid w:val="6F6774FE"/>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C3136"/>
    <w:rsid w:val="754F1E1A"/>
    <w:rsid w:val="761859F6"/>
    <w:rsid w:val="76206BC5"/>
    <w:rsid w:val="76816FC9"/>
    <w:rsid w:val="76EB3FE1"/>
    <w:rsid w:val="770E210B"/>
    <w:rsid w:val="772D76F7"/>
    <w:rsid w:val="773210D8"/>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1403</TotalTime>
  <ScaleCrop>false</ScaleCrop>
  <LinksUpToDate>false</LinksUpToDate>
  <CharactersWithSpaces>5037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2022-01-05T00:56:24Z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453E5B5609E442AFA1DE49CA80052D1B</vt:lpwstr>
  </property>
</Properties>
</file>