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电动双层卸灰阀</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月6日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201007DDSCXHF</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电动双层卸灰阀</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1</w:t>
      </w:r>
      <w:r>
        <w:rPr>
          <w:rFonts w:hint="eastAsia" w:ascii="宋体" w:hAnsi="宋体"/>
          <w:sz w:val="24"/>
          <w:szCs w:val="24"/>
          <w:highlight w:val="none"/>
          <w:lang w:val="en-US" w:eastAsia="zh-CN"/>
        </w:rPr>
        <w:t>3365730511</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铁前事业部：   楚  工   18655387056</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13</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19</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下</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13</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13</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highlight w:val="none"/>
        </w:rPr>
      </w:pPr>
      <w:r>
        <w:rPr>
          <w:rFonts w:hint="eastAsia" w:ascii="宋体" w:hAnsi="宋体"/>
          <w:sz w:val="24"/>
          <w:szCs w:val="24"/>
        </w:rPr>
        <w:t>在专业技术、设备设施、人员组成等方面具有设计、制造、质量控制、经营管理</w:t>
      </w:r>
      <w:r>
        <w:rPr>
          <w:rFonts w:hint="eastAsia" w:ascii="宋体" w:hAnsi="宋体"/>
          <w:sz w:val="24"/>
          <w:szCs w:val="24"/>
          <w:highlight w:val="none"/>
        </w:rPr>
        <w:t>的相应的资格和能力。</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（3）必须有加工能力和一定垫资能力</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w:t>
      </w:r>
      <w:r>
        <w:rPr>
          <w:rFonts w:hint="eastAsia" w:ascii="宋体" w:hAnsi="宋体" w:cs="仿宋_GB2312"/>
          <w:sz w:val="21"/>
          <w:szCs w:val="21"/>
          <w:highlight w:val="none"/>
          <w:lang w:val="en-US" w:eastAsia="zh-CN"/>
        </w:rPr>
        <w:t>厂家需提供不同钢铁企业烧结工况使用的电动双层卸灰阀的业绩合同5份</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（5）具有法律、法规和招标人规定的其他条件</w:t>
      </w:r>
      <w:r>
        <w:rPr>
          <w:rFonts w:hint="eastAsia" w:ascii="宋体" w:hAnsi="宋体" w:cs="Times New Roman"/>
          <w:kern w:val="2"/>
          <w:sz w:val="24"/>
          <w:szCs w:val="24"/>
          <w:highlight w:val="none"/>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20" w:firstLineChars="200"/>
        <w:rPr>
          <w:rFonts w:hint="eastAsia" w:ascii="宋体" w:hAnsi="宋体" w:cs="仿宋_GB2312"/>
          <w:color w:val="000000" w:themeColor="text1"/>
          <w:sz w:val="21"/>
          <w:szCs w:val="21"/>
          <w:lang w:val="en-US" w:eastAsia="zh-CN"/>
        </w:rPr>
      </w:pPr>
      <w:r>
        <w:rPr>
          <w:rFonts w:hint="eastAsia" w:ascii="宋体" w:hAnsi="宋体" w:cs="仿宋_GB2312"/>
          <w:color w:val="000000" w:themeColor="text1"/>
          <w:sz w:val="21"/>
          <w:szCs w:val="21"/>
        </w:rPr>
        <w:t>1、</w:t>
      </w:r>
      <w:r>
        <w:rPr>
          <w:rFonts w:hint="eastAsia" w:ascii="宋体" w:hAnsi="宋体" w:cs="仿宋_GB2312"/>
          <w:color w:val="000000" w:themeColor="text1"/>
          <w:sz w:val="21"/>
          <w:szCs w:val="21"/>
          <w:lang w:val="en-US" w:eastAsia="zh-CN"/>
        </w:rPr>
        <w:t>拟</w:t>
      </w:r>
      <w:r>
        <w:rPr>
          <w:rFonts w:hint="eastAsia" w:ascii="宋体" w:hAnsi="宋体" w:cs="仿宋_GB2312"/>
          <w:color w:val="000000" w:themeColor="text1"/>
          <w:sz w:val="21"/>
          <w:szCs w:val="21"/>
          <w:lang w:eastAsia="zh-CN"/>
        </w:rPr>
        <w:t>付款方式：</w:t>
      </w:r>
      <w:r>
        <w:rPr>
          <w:rFonts w:hint="eastAsia" w:ascii="宋体" w:hAnsi="宋体" w:cs="仿宋_GB2312"/>
          <w:color w:val="000000" w:themeColor="text1"/>
          <w:sz w:val="21"/>
          <w:szCs w:val="21"/>
        </w:rPr>
        <w:t>设备</w:t>
      </w:r>
      <w:r>
        <w:rPr>
          <w:rFonts w:hint="eastAsia" w:ascii="宋体" w:hAnsi="宋体" w:cs="仿宋_GB2312"/>
          <w:color w:val="000000" w:themeColor="text1"/>
          <w:sz w:val="21"/>
          <w:szCs w:val="21"/>
          <w:lang w:val="en-US" w:eastAsia="zh-CN"/>
        </w:rPr>
        <w:t>到齐后</w:t>
      </w:r>
      <w:r>
        <w:rPr>
          <w:rFonts w:hint="eastAsia" w:ascii="宋体" w:hAnsi="宋体" w:cs="仿宋_GB2312"/>
          <w:color w:val="000000" w:themeColor="text1"/>
          <w:sz w:val="21"/>
          <w:szCs w:val="21"/>
        </w:rPr>
        <w:t>付款</w:t>
      </w:r>
      <w:r>
        <w:rPr>
          <w:rFonts w:hint="eastAsia" w:ascii="宋体" w:hAnsi="宋体" w:cs="仿宋_GB2312"/>
          <w:color w:val="000000" w:themeColor="text1"/>
          <w:sz w:val="21"/>
          <w:szCs w:val="21"/>
          <w:lang w:val="en-US" w:eastAsia="zh-CN"/>
        </w:rPr>
        <w:t>6</w:t>
      </w:r>
      <w:r>
        <w:rPr>
          <w:rFonts w:hint="eastAsia" w:ascii="宋体" w:hAnsi="宋体" w:cs="仿宋_GB2312"/>
          <w:color w:val="000000" w:themeColor="text1"/>
          <w:sz w:val="21"/>
          <w:szCs w:val="21"/>
        </w:rPr>
        <w:t>0%，设备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w:t>
      </w:r>
      <w:r>
        <w:rPr>
          <w:rFonts w:hint="eastAsia" w:ascii="宋体" w:hAnsi="宋体" w:cs="仿宋_GB2312"/>
          <w:color w:val="000000" w:themeColor="text1"/>
          <w:sz w:val="21"/>
          <w:szCs w:val="21"/>
          <w:lang w:eastAsia="zh-CN"/>
        </w:rPr>
        <w:t>三</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30</w:t>
      </w:r>
      <w:r>
        <w:rPr>
          <w:rFonts w:hint="eastAsia" w:ascii="宋体" w:hAnsi="宋体" w:cs="仿宋_GB2312"/>
          <w:color w:val="000000" w:themeColor="text1"/>
          <w:sz w:val="21"/>
          <w:szCs w:val="21"/>
        </w:rPr>
        <w:t>%，设备</w:t>
      </w:r>
      <w:r>
        <w:rPr>
          <w:rFonts w:hint="eastAsia" w:ascii="宋体" w:hAnsi="宋体" w:cs="仿宋_GB2312"/>
          <w:color w:val="000000" w:themeColor="text1"/>
          <w:sz w:val="21"/>
          <w:szCs w:val="21"/>
          <w:lang w:eastAsia="zh-CN"/>
        </w:rPr>
        <w:t>正常</w:t>
      </w:r>
      <w:r>
        <w:rPr>
          <w:rFonts w:hint="eastAsia" w:ascii="宋体" w:hAnsi="宋体" w:cs="仿宋_GB2312"/>
          <w:color w:val="000000" w:themeColor="text1"/>
          <w:sz w:val="21"/>
          <w:szCs w:val="21"/>
        </w:rPr>
        <w:t>运行十</w:t>
      </w:r>
      <w:r>
        <w:rPr>
          <w:rFonts w:hint="eastAsia" w:ascii="宋体" w:hAnsi="宋体" w:cs="仿宋_GB2312"/>
          <w:color w:val="000000" w:themeColor="text1"/>
          <w:sz w:val="21"/>
          <w:szCs w:val="21"/>
          <w:lang w:eastAsia="zh-CN"/>
        </w:rPr>
        <w:t>二</w:t>
      </w:r>
      <w:r>
        <w:rPr>
          <w:rFonts w:hint="eastAsia" w:ascii="宋体" w:hAnsi="宋体" w:cs="仿宋_GB2312"/>
          <w:color w:val="000000" w:themeColor="text1"/>
          <w:sz w:val="21"/>
          <w:szCs w:val="21"/>
        </w:rPr>
        <w:t>个月付</w:t>
      </w:r>
      <w:r>
        <w:rPr>
          <w:rFonts w:hint="eastAsia" w:ascii="宋体" w:hAnsi="宋体" w:cs="仿宋_GB2312"/>
          <w:color w:val="000000" w:themeColor="text1"/>
          <w:sz w:val="21"/>
          <w:szCs w:val="21"/>
          <w:lang w:val="en-US" w:eastAsia="zh-CN"/>
        </w:rPr>
        <w:t>10</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eastAsia="zh-CN"/>
        </w:rPr>
        <w:t>，</w:t>
      </w:r>
      <w:r>
        <w:rPr>
          <w:rFonts w:hint="eastAsia" w:ascii="宋体" w:hAnsi="宋体" w:cs="仿宋_GB2312"/>
          <w:color w:val="000000" w:themeColor="text1"/>
          <w:sz w:val="21"/>
          <w:szCs w:val="21"/>
        </w:rPr>
        <w:t>报价含1</w:t>
      </w:r>
      <w:r>
        <w:rPr>
          <w:rFonts w:hint="eastAsia" w:ascii="宋体" w:hAnsi="宋体" w:cs="仿宋_GB2312"/>
          <w:color w:val="000000" w:themeColor="text1"/>
          <w:sz w:val="21"/>
          <w:szCs w:val="21"/>
          <w:lang w:val="en-US" w:eastAsia="zh-CN"/>
        </w:rPr>
        <w:t>3</w:t>
      </w:r>
      <w:r>
        <w:rPr>
          <w:rFonts w:hint="eastAsia" w:ascii="宋体" w:hAnsi="宋体" w:cs="仿宋_GB2312"/>
          <w:color w:val="000000" w:themeColor="text1"/>
          <w:sz w:val="21"/>
          <w:szCs w:val="21"/>
        </w:rPr>
        <w:t>%税</w:t>
      </w:r>
      <w:r>
        <w:rPr>
          <w:rFonts w:hint="eastAsia" w:ascii="宋体" w:hAnsi="宋体" w:cs="仿宋_GB2312"/>
          <w:color w:val="000000" w:themeColor="text1"/>
          <w:sz w:val="21"/>
          <w:szCs w:val="21"/>
          <w:lang w:eastAsia="zh-CN"/>
        </w:rPr>
        <w:t>。</w:t>
      </w:r>
    </w:p>
    <w:p>
      <w:pPr>
        <w:spacing w:line="440" w:lineRule="exact"/>
        <w:ind w:firstLine="420" w:firstLineChars="200"/>
        <w:rPr>
          <w:rFonts w:hint="eastAsia" w:ascii="宋体" w:hAnsi="宋体" w:cs="仿宋_GB2312"/>
          <w:color w:val="000000" w:themeColor="text1"/>
          <w:sz w:val="21"/>
          <w:szCs w:val="21"/>
        </w:rPr>
      </w:pPr>
      <w:r>
        <w:rPr>
          <w:rFonts w:hint="eastAsia" w:ascii="宋体" w:hAnsi="宋体" w:cs="仿宋_GB2312"/>
          <w:color w:val="000000" w:themeColor="text1"/>
          <w:sz w:val="21"/>
          <w:szCs w:val="21"/>
        </w:rPr>
        <w:t>2、结算方式：均为6个月银行承兑汇票。</w:t>
      </w:r>
    </w:p>
    <w:p>
      <w:pPr>
        <w:spacing w:line="440" w:lineRule="exact"/>
        <w:ind w:firstLine="420" w:firstLineChars="200"/>
        <w:rPr>
          <w:rFonts w:hint="eastAsia" w:ascii="宋体" w:hAnsi="宋体" w:cs="仿宋_GB2312"/>
          <w:color w:val="000000" w:themeColor="text1"/>
          <w:sz w:val="21"/>
          <w:szCs w:val="21"/>
        </w:rPr>
      </w:pPr>
      <w:r>
        <w:rPr>
          <w:rFonts w:hint="eastAsia" w:ascii="宋体" w:hAnsi="宋体" w:cs="仿宋_GB2312"/>
          <w:color w:val="000000" w:themeColor="text1"/>
          <w:sz w:val="21"/>
          <w:szCs w:val="21"/>
        </w:rPr>
        <w:t>3、交货地点：</w:t>
      </w:r>
      <w:bookmarkStart w:id="0" w:name="_GoBack"/>
      <w:bookmarkEnd w:id="0"/>
      <w:r>
        <w:rPr>
          <w:rFonts w:hint="eastAsia" w:ascii="宋体" w:hAnsi="宋体" w:cs="仿宋_GB2312"/>
          <w:color w:val="000000" w:themeColor="text1"/>
          <w:sz w:val="21"/>
          <w:szCs w:val="21"/>
        </w:rPr>
        <w:t>芜湖新兴铸管有限责任公司三山区现场。</w:t>
      </w:r>
    </w:p>
    <w:p>
      <w:pPr>
        <w:spacing w:line="440" w:lineRule="exact"/>
        <w:ind w:firstLine="420" w:firstLineChars="200"/>
        <w:rPr>
          <w:rFonts w:hint="default" w:ascii="宋体" w:hAnsi="宋体" w:cs="仿宋_GB2312"/>
          <w:color w:val="000000" w:themeColor="text1"/>
          <w:sz w:val="21"/>
          <w:szCs w:val="21"/>
          <w:lang w:val="en-US" w:eastAsia="zh-CN"/>
        </w:rPr>
      </w:pPr>
      <w:r>
        <w:rPr>
          <w:rFonts w:hint="eastAsia" w:ascii="宋体" w:hAnsi="宋体" w:cs="仿宋_GB2312"/>
          <w:color w:val="000000" w:themeColor="text1"/>
          <w:sz w:val="21"/>
          <w:szCs w:val="21"/>
          <w:lang w:val="en-US" w:eastAsia="zh-CN"/>
        </w:rPr>
        <w:t>4、建议交货期：30天。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按总价</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w:t>
      </w:r>
      <w:r>
        <w:rPr>
          <w:rFonts w:hint="eastAsia" w:ascii="Times New Roman" w:hAnsi="Times New Roman" w:cs="Times New Roman"/>
          <w:bCs/>
          <w:sz w:val="28"/>
          <w:szCs w:val="28"/>
          <w:lang w:val="en-US" w:eastAsia="zh-CN"/>
        </w:rPr>
        <w:t xml:space="preserve">为 </w:t>
      </w:r>
      <w:r>
        <w:rPr>
          <w:rFonts w:hint="eastAsia" w:ascii="仿宋_GB2312" w:hAnsi="仿宋_GB2312" w:eastAsia="仿宋_GB2312" w:cs="仿宋_GB2312"/>
          <w:b/>
          <w:bCs/>
          <w:color w:val="FF0000"/>
          <w:sz w:val="28"/>
          <w:szCs w:val="28"/>
          <w:lang w:val="en-US" w:eastAsia="zh-CN"/>
        </w:rPr>
        <w:t>电动双层卸灰阀，如下：</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电动双层卸灰阀</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47套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B</w:t>
            </w:r>
          </w:p>
        </w:tc>
      </w:tr>
    </w:tbl>
    <w:p>
      <w:pPr>
        <w:numPr>
          <w:ilvl w:val="0"/>
          <w:numId w:val="0"/>
        </w:numPr>
        <w:jc w:val="left"/>
        <w:rPr>
          <w:rFonts w:hint="eastAsia" w:ascii="Times New Roman" w:hAnsi="Times New Roman" w:cs="Times New Roman"/>
          <w:bCs/>
          <w:sz w:val="28"/>
          <w:szCs w:val="28"/>
          <w:lang w:eastAsia="zh-CN"/>
        </w:rPr>
      </w:pPr>
      <w:r>
        <w:rPr>
          <w:rFonts w:hint="eastAsia" w:ascii="Times New Roman" w:hAnsi="Times New Roman" w:cs="Times New Roman"/>
          <w:bCs/>
          <w:sz w:val="28"/>
          <w:szCs w:val="28"/>
          <w:lang w:eastAsia="zh-CN"/>
        </w:rPr>
        <w:t>详见附件技术资料，需满足我方技术规格书要求；</w:t>
      </w:r>
    </w:p>
    <w:p>
      <w:pPr>
        <w:numPr>
          <w:ilvl w:val="0"/>
          <w:numId w:val="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2、整个项目投标厂家指导安装，负责调试</w:t>
      </w:r>
      <w:r>
        <w:rPr>
          <w:rFonts w:hint="eastAsia" w:ascii="Times New Roman" w:hAnsi="Times New Roman" w:cs="Times New Roman"/>
          <w:bCs/>
          <w:sz w:val="28"/>
          <w:szCs w:val="28"/>
          <w:lang w:eastAsia="zh-CN"/>
        </w:rPr>
        <w:t>；</w:t>
      </w:r>
    </w:p>
    <w:p>
      <w:pPr>
        <w:numPr>
          <w:ilvl w:val="0"/>
          <w:numId w:val="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3、由于项目复杂，技术要求高，任何投标人希望参与本项目均应在开标前与招标人联系开展技术交流并签署技术附件，未能签订技术附件的投标人，其投标将被否决；具体联系人：楚天福 18655387056，李祥 18955381395。</w:t>
      </w:r>
    </w:p>
    <w:p>
      <w:pPr>
        <w:numPr>
          <w:ilvl w:val="0"/>
          <w:numId w:val="0"/>
        </w:numPr>
        <w:jc w:val="left"/>
        <w:rPr>
          <w:rFonts w:hint="eastAsia" w:ascii="Times New Roman" w:hAnsi="Times New Roman" w:cs="Times New Roman"/>
          <w:bCs/>
          <w:sz w:val="28"/>
          <w:szCs w:val="28"/>
          <w:lang w:eastAsia="zh-CN"/>
        </w:rPr>
      </w:pPr>
      <w:r>
        <w:rPr>
          <w:rFonts w:hint="eastAsia" w:ascii="Times New Roman" w:hAnsi="Times New Roman" w:cs="Times New Roman"/>
          <w:bCs/>
          <w:sz w:val="28"/>
          <w:szCs w:val="28"/>
          <w:lang w:val="en-US" w:eastAsia="zh-CN"/>
        </w:rPr>
        <w:t>4、厂家需提供不同钢铁企业烧结工况使用的电动双层卸灰阀的业绩合同5份</w:t>
      </w:r>
      <w:r>
        <w:rPr>
          <w:rFonts w:hint="eastAsia" w:ascii="Times New Roman" w:hAnsi="Times New Roman" w:cs="Times New Roman"/>
          <w:bCs/>
          <w:sz w:val="28"/>
          <w:szCs w:val="28"/>
          <w:lang w:eastAsia="zh-CN"/>
        </w:rPr>
        <w:t>。</w:t>
      </w:r>
    </w:p>
    <w:p>
      <w:pPr>
        <w:numPr>
          <w:ilvl w:val="0"/>
          <w:numId w:val="0"/>
        </w:numPr>
        <w:jc w:val="left"/>
        <w:rPr>
          <w:rFonts w:hint="default"/>
          <w:lang w:val="en-US" w:eastAsia="zh-CN"/>
        </w:rPr>
      </w:pPr>
      <w:r>
        <w:rPr>
          <w:rFonts w:hint="eastAsia" w:ascii="Times New Roman" w:hAnsi="Times New Roman" w:cs="Times New Roman"/>
          <w:bCs/>
          <w:sz w:val="28"/>
          <w:szCs w:val="28"/>
          <w:lang w:val="en-US" w:eastAsia="zh-CN"/>
        </w:rPr>
        <w:t>5、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w:t>
      </w:r>
      <w:r>
        <w:rPr>
          <w:rFonts w:hint="eastAsia"/>
          <w:bCs/>
          <w:sz w:val="28"/>
          <w:szCs w:val="28"/>
          <w:lang w:val="en-US" w:eastAsia="zh-CN"/>
        </w:rPr>
        <w:t>作为评标参考依据。易损件及非标件价格作为备件参考价格，不得随意涨价</w:t>
      </w:r>
    </w:p>
    <w:p>
      <w:pPr>
        <w:pStyle w:val="2"/>
      </w:pPr>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1月6日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电动双层卸灰阀</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91039B0"/>
    <w:rsid w:val="0A205F87"/>
    <w:rsid w:val="0A823C2F"/>
    <w:rsid w:val="0B6D4325"/>
    <w:rsid w:val="0B8301A2"/>
    <w:rsid w:val="0B982FFA"/>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1C14169"/>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69220C"/>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AF6616"/>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A32240"/>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5A3736"/>
    <w:rsid w:val="7E7C7834"/>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5</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2022-01-06T07:19:45Z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