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杂件类及油刷类</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 月10日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201008ZJLJYSL</w:t>
      </w:r>
      <w:r>
        <w:rPr>
          <w:rFonts w:hint="eastAsia" w:ascii="宋体" w:hAnsi="宋体"/>
          <w:color w:val="FF0000"/>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杂件类及油刷类</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段</w:t>
      </w:r>
      <w:r>
        <w:rPr>
          <w:rFonts w:hint="eastAsia" w:ascii="宋体" w:hAnsi="宋体"/>
          <w:sz w:val="24"/>
          <w:szCs w:val="24"/>
          <w:highlight w:val="none"/>
          <w:lang w:eastAsia="zh-CN"/>
        </w:rPr>
        <w:t xml:space="preserve">  工   1</w:t>
      </w:r>
      <w:r>
        <w:rPr>
          <w:rFonts w:hint="eastAsia" w:ascii="宋体" w:hAnsi="宋体"/>
          <w:sz w:val="24"/>
          <w:szCs w:val="24"/>
          <w:lang w:val="en-US" w:eastAsia="zh-CN"/>
        </w:rPr>
        <w:t>3365731899</w:t>
      </w: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17</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1月</w:t>
      </w:r>
      <w:r>
        <w:rPr>
          <w:rFonts w:hint="eastAsia" w:ascii="宋体" w:hAnsi="宋体"/>
          <w:bCs/>
          <w:color w:val="FF0000"/>
          <w:sz w:val="24"/>
          <w:szCs w:val="24"/>
          <w:highlight w:val="none"/>
          <w:lang w:val="en-US" w:eastAsia="zh-CN"/>
        </w:rPr>
        <w:t>21</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下</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13</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bookmarkStart w:id="0" w:name="_GoBack"/>
      <w:bookmarkEnd w:id="0"/>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color w:val="0000FF"/>
          <w:sz w:val="24"/>
          <w:szCs w:val="24"/>
          <w:u w:val="single"/>
          <w:lang w:eastAsia="zh-CN"/>
        </w:rPr>
        <w:t>（</w:t>
      </w:r>
      <w:r>
        <w:rPr>
          <w:rFonts w:hint="eastAsia" w:ascii="宋体" w:hAnsi="宋体"/>
          <w:bCs/>
          <w:color w:val="0000FF"/>
          <w:sz w:val="24"/>
          <w:szCs w:val="24"/>
          <w:u w:val="single"/>
          <w:lang w:val="en-US" w:eastAsia="zh-CN"/>
        </w:rPr>
        <w:t>标段一保证金为柒仟元；标段二保证金叁仟元</w:t>
      </w:r>
      <w:r>
        <w:rPr>
          <w:rFonts w:hint="eastAsia" w:ascii="宋体" w:hAnsi="宋体"/>
          <w:bCs/>
          <w:color w:val="0000FF"/>
          <w:sz w:val="24"/>
          <w:szCs w:val="24"/>
          <w:u w:val="single"/>
          <w:lang w:eastAsia="zh-CN"/>
        </w:rPr>
        <w:t>）</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17</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highlight w:val="none"/>
        </w:rPr>
      </w:pPr>
      <w:r>
        <w:rPr>
          <w:rFonts w:hint="eastAsia" w:ascii="宋体" w:hAnsi="宋体"/>
          <w:sz w:val="24"/>
          <w:szCs w:val="24"/>
        </w:rPr>
        <w:t>在专业技术、设备设施、人员组成等方面具有设计、制造、质量控制、经营管理</w:t>
      </w:r>
      <w:r>
        <w:rPr>
          <w:rFonts w:hint="eastAsia" w:ascii="宋体" w:hAnsi="宋体"/>
          <w:sz w:val="24"/>
          <w:szCs w:val="24"/>
          <w:highlight w:val="none"/>
        </w:rPr>
        <w:t>的相应的资格和能力。</w:t>
      </w:r>
    </w:p>
    <w:p>
      <w:pPr>
        <w:pStyle w:val="2"/>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（3）必须有加工能力</w:t>
      </w:r>
      <w:r>
        <w:rPr>
          <w:rFonts w:hint="eastAsia" w:ascii="宋体" w:hAnsi="宋体" w:cs="Times New Roman"/>
          <w:kern w:val="2"/>
          <w:sz w:val="24"/>
          <w:szCs w:val="24"/>
          <w:highlight w:val="none"/>
          <w:lang w:val="en-US" w:eastAsia="zh-CN" w:bidi="ar-SA"/>
        </w:rPr>
        <w:t>或</w:t>
      </w:r>
      <w:r>
        <w:rPr>
          <w:rFonts w:hint="eastAsia" w:ascii="宋体" w:hAnsi="宋体" w:eastAsia="宋体" w:cs="Times New Roman"/>
          <w:kern w:val="2"/>
          <w:sz w:val="24"/>
          <w:szCs w:val="24"/>
          <w:highlight w:val="none"/>
          <w:lang w:val="en-US" w:eastAsia="zh-CN" w:bidi="ar-SA"/>
        </w:rPr>
        <w:t>一定垫资能力</w:t>
      </w:r>
      <w:r>
        <w:rPr>
          <w:rFonts w:hint="eastAsia" w:ascii="宋体" w:hAnsi="宋体" w:cs="Times New Roman"/>
          <w:kern w:val="2"/>
          <w:sz w:val="24"/>
          <w:szCs w:val="24"/>
          <w:highlight w:val="none"/>
          <w:lang w:val="en-US" w:eastAsia="zh-CN" w:bidi="ar-SA"/>
        </w:rPr>
        <w:t>。</w:t>
      </w:r>
    </w:p>
    <w:p>
      <w:pPr>
        <w:ind w:firstLine="480" w:firstLineChars="200"/>
        <w:rPr>
          <w:rFonts w:hint="eastAsia" w:ascii="宋体" w:hAnsi="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（4）具有法律、法规和招标人规定的其他条件</w:t>
      </w:r>
      <w:r>
        <w:rPr>
          <w:rFonts w:hint="eastAsia" w:ascii="宋体" w:hAnsi="宋体" w:cs="Times New Roman"/>
          <w:kern w:val="2"/>
          <w:sz w:val="24"/>
          <w:szCs w:val="24"/>
          <w:highlight w:val="none"/>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560" w:firstLineChars="200"/>
        <w:rPr>
          <w:rFonts w:hint="eastAsia" w:ascii="宋体" w:hAnsi="宋体" w:cs="仿宋_GB2312"/>
          <w:color w:val="000000" w:themeColor="text1"/>
          <w:sz w:val="28"/>
          <w:szCs w:val="28"/>
          <w:lang w:val="en-US" w:eastAsia="zh-CN"/>
        </w:rPr>
      </w:pPr>
      <w:r>
        <w:rPr>
          <w:rFonts w:hint="eastAsia" w:ascii="宋体" w:hAnsi="宋体" w:cs="仿宋_GB2312"/>
          <w:color w:val="000000" w:themeColor="text1"/>
          <w:sz w:val="28"/>
          <w:szCs w:val="28"/>
        </w:rPr>
        <w:t>1、付款方式：货到发票入账，三个月后付款，保留合同总金额的10%质保金</w:t>
      </w:r>
      <w:r>
        <w:rPr>
          <w:rFonts w:hint="eastAsia" w:ascii="宋体" w:hAnsi="宋体" w:cs="仿宋_GB2312"/>
          <w:color w:val="000000" w:themeColor="text1"/>
          <w:sz w:val="28"/>
          <w:szCs w:val="28"/>
          <w:lang w:eastAsia="zh-CN"/>
        </w:rPr>
        <w:t>。</w:t>
      </w:r>
    </w:p>
    <w:p>
      <w:pPr>
        <w:spacing w:line="440" w:lineRule="exact"/>
        <w:ind w:firstLine="560" w:firstLineChars="200"/>
        <w:rPr>
          <w:rFonts w:hint="eastAsia" w:ascii="宋体" w:hAnsi="宋体" w:cs="仿宋_GB2312"/>
          <w:color w:val="000000" w:themeColor="text1"/>
          <w:sz w:val="28"/>
          <w:szCs w:val="28"/>
        </w:rPr>
      </w:pPr>
      <w:r>
        <w:rPr>
          <w:rFonts w:hint="eastAsia" w:ascii="宋体" w:hAnsi="宋体" w:cs="仿宋_GB2312"/>
          <w:color w:val="000000" w:themeColor="text1"/>
          <w:sz w:val="28"/>
          <w:szCs w:val="28"/>
        </w:rPr>
        <w:t>2、结算方式：均为6个月银行承兑汇票。</w:t>
      </w:r>
    </w:p>
    <w:p>
      <w:pPr>
        <w:spacing w:line="440" w:lineRule="exact"/>
        <w:ind w:firstLine="560" w:firstLineChars="200"/>
        <w:rPr>
          <w:rFonts w:hint="eastAsia"/>
        </w:rPr>
      </w:pPr>
      <w:r>
        <w:rPr>
          <w:rFonts w:hint="eastAsia" w:ascii="宋体" w:hAnsi="宋体" w:cs="仿宋_GB2312"/>
          <w:color w:val="000000" w:themeColor="text1"/>
          <w:sz w:val="28"/>
          <w:szCs w:val="28"/>
        </w:rPr>
        <w:t>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hint="eastAsia" w:ascii="宋体" w:hAnsi="宋体" w:eastAsia="宋体" w:cs="宋体"/>
          <w:sz w:val="28"/>
          <w:szCs w:val="28"/>
          <w:highlight w:val="none"/>
        </w:rPr>
      </w:pPr>
      <w:r>
        <w:rPr>
          <w:rFonts w:hint="eastAsia" w:ascii="宋体" w:hAnsi="宋体" w:eastAsia="宋体" w:cs="宋体"/>
          <w:sz w:val="28"/>
          <w:szCs w:val="28"/>
          <w:highlight w:val="none"/>
        </w:rPr>
        <w:t>本次招标采取综合评分的方式</w:t>
      </w:r>
      <w:r>
        <w:rPr>
          <w:rFonts w:hint="eastAsia" w:ascii="宋体" w:hAnsi="宋体" w:eastAsia="宋体" w:cs="宋体"/>
          <w:sz w:val="28"/>
          <w:szCs w:val="28"/>
          <w:highlight w:val="none"/>
          <w:lang w:val="en-US" w:eastAsia="zh-CN"/>
        </w:rPr>
        <w:t>分两个标段</w:t>
      </w:r>
      <w:r>
        <w:rPr>
          <w:rFonts w:hint="eastAsia" w:ascii="宋体" w:hAnsi="宋体" w:eastAsia="宋体" w:cs="宋体"/>
          <w:sz w:val="28"/>
          <w:szCs w:val="28"/>
          <w:highlight w:val="none"/>
        </w:rPr>
        <w:t>进行评标。</w:t>
      </w:r>
    </w:p>
    <w:p>
      <w:pPr>
        <w:ind w:left="420" w:leftChars="200" w:firstLine="843" w:firstLineChars="300"/>
        <w:rPr>
          <w:rFonts w:hint="eastAsia" w:ascii="宋体" w:hAnsi="宋体" w:eastAsia="宋体" w:cs="宋体"/>
          <w:sz w:val="28"/>
          <w:szCs w:val="28"/>
          <w:highlight w:val="none"/>
          <w:lang w:eastAsia="zh-CN"/>
        </w:rPr>
      </w:pPr>
      <w:r>
        <w:rPr>
          <w:rFonts w:hint="eastAsia" w:ascii="宋体" w:hAnsi="宋体" w:eastAsia="宋体" w:cs="宋体"/>
          <w:b/>
          <w:sz w:val="28"/>
          <w:szCs w:val="28"/>
          <w:highlight w:val="none"/>
        </w:rPr>
        <w:t>评分标准：</w:t>
      </w:r>
      <w:r>
        <w:rPr>
          <w:rFonts w:hint="eastAsia" w:ascii="宋体" w:hAnsi="宋体" w:eastAsia="宋体" w:cs="宋体"/>
          <w:sz w:val="28"/>
          <w:szCs w:val="28"/>
          <w:highlight w:val="none"/>
        </w:rPr>
        <w:t>由评标委员会按</w:t>
      </w:r>
      <w:r>
        <w:rPr>
          <w:rFonts w:hint="eastAsia" w:ascii="宋体" w:hAnsi="宋体" w:eastAsia="宋体" w:cs="宋体"/>
          <w:b/>
          <w:sz w:val="28"/>
          <w:szCs w:val="28"/>
          <w:highlight w:val="none"/>
          <w:lang w:val="en-US" w:eastAsia="zh-CN"/>
        </w:rPr>
        <w:t>C</w:t>
      </w:r>
      <w:r>
        <w:rPr>
          <w:rFonts w:hint="eastAsia" w:ascii="宋体" w:hAnsi="宋体" w:eastAsia="宋体" w:cs="宋体"/>
          <w:b/>
          <w:sz w:val="28"/>
          <w:szCs w:val="28"/>
          <w:highlight w:val="none"/>
        </w:rPr>
        <w:t>类</w:t>
      </w:r>
      <w:r>
        <w:rPr>
          <w:rFonts w:hint="eastAsia" w:ascii="宋体" w:hAnsi="宋体" w:eastAsia="宋体" w:cs="宋体"/>
          <w:sz w:val="28"/>
          <w:szCs w:val="28"/>
          <w:highlight w:val="none"/>
        </w:rPr>
        <w:t xml:space="preserve">物资进行评分。按分数从高到低顺序进行推荐中标候选人。价格：满分 </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 xml:space="preserve">0 分。满足招标文件要求的前提下，取所有投标方有效报价的最低价作为评标基准价，其得分为 </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0 分，其他得分为：价格分=</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 xml:space="preserve">0*评标基准价÷有效报价。质量：满分 </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0 分。技术方案及质量没有响应招标文件的 投标将被否决。质量响应招标文件 9 分；技术方案及性能配置或性 能指标 17 分；产品寿命或易损件价格及提供图纸 3 分；相关专利 1 分（提供与招标项目相关的专利1分）资质、装备及工艺技术水平：满分 5 分。资质 1 分；公 司规模及人员构成 1 分；企业装备、加工能力 1 分；工艺流程及技 术水平 1 分；相关业绩 1 分(类似业绩每项 1 分，最高 1 分)。</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服务、工期及资金状况：满分 15 分。制作工期 4 分；售 后服务 4 分；资金状况 2 分；付款方式 5 分（完全响应我方要求的</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分，其他方式，由评委根据具体情况商讨分数）</w:t>
      </w:r>
      <w:r>
        <w:rPr>
          <w:rFonts w:hint="eastAsia" w:ascii="宋体" w:hAnsi="宋体" w:eastAsia="宋体" w:cs="宋体"/>
          <w:sz w:val="28"/>
          <w:szCs w:val="28"/>
          <w:highlight w:val="none"/>
          <w:lang w:eastAsia="zh-CN"/>
        </w:rPr>
        <w:t>。</w:t>
      </w:r>
    </w:p>
    <w:p>
      <w:pPr>
        <w:pStyle w:val="2"/>
      </w:pPr>
    </w:p>
    <w:p>
      <w:pPr>
        <w:numPr>
          <w:ilvl w:val="0"/>
          <w:numId w:val="7"/>
        </w:numPr>
        <w:rPr>
          <w:b/>
          <w:sz w:val="24"/>
          <w:szCs w:val="24"/>
        </w:rPr>
      </w:pPr>
      <w:r>
        <w:rPr>
          <w:rFonts w:hint="eastAsia"/>
          <w:b/>
          <w:sz w:val="24"/>
          <w:szCs w:val="24"/>
        </w:rPr>
        <w:t>其他要求</w:t>
      </w:r>
    </w:p>
    <w:p>
      <w:pPr>
        <w:numPr>
          <w:ilvl w:val="0"/>
          <w:numId w:val="8"/>
        </w:numPr>
        <w:jc w:val="left"/>
        <w:rPr>
          <w:rFonts w:hint="eastAsia" w:ascii="宋体" w:hAnsi="宋体" w:cs="宋体"/>
          <w:sz w:val="28"/>
          <w:szCs w:val="28"/>
          <w:lang w:val="en-US" w:eastAsia="zh-CN"/>
        </w:rPr>
      </w:pPr>
      <w:r>
        <w:rPr>
          <w:rFonts w:hint="eastAsia" w:ascii="宋体" w:hAnsi="宋体" w:cs="宋体"/>
          <w:sz w:val="28"/>
          <w:szCs w:val="28"/>
          <w:lang w:val="en-US" w:eastAsia="zh-CN"/>
        </w:rPr>
        <w:t>本次招标项目为杂件类及油刷类，具体如下：详见附件资料：</w:t>
      </w:r>
    </w:p>
    <w:tbl>
      <w:tblPr>
        <w:tblStyle w:val="10"/>
        <w:tblW w:w="9506"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456"/>
        <w:gridCol w:w="2067"/>
        <w:gridCol w:w="1383"/>
        <w:gridCol w:w="16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trPr>
        <w:tc>
          <w:tcPr>
            <w:tcW w:w="445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206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数  量</w:t>
            </w:r>
          </w:p>
        </w:tc>
        <w:tc>
          <w:tcPr>
            <w:tcW w:w="138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c>
          <w:tcPr>
            <w:tcW w:w="160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trPr>
        <w:tc>
          <w:tcPr>
            <w:tcW w:w="445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cs="Times New Roman"/>
                <w:b/>
                <w:color w:val="FF0000"/>
                <w:sz w:val="32"/>
                <w:szCs w:val="32"/>
                <w:lang w:val="en-US" w:eastAsia="zh-CN"/>
              </w:rPr>
            </w:pPr>
            <w:r>
              <w:rPr>
                <w:rFonts w:hint="eastAsia" w:ascii="宋体" w:hAnsi="宋体" w:cs="Times New Roman"/>
                <w:b/>
                <w:color w:val="FF0000"/>
                <w:sz w:val="32"/>
                <w:szCs w:val="32"/>
                <w:lang w:val="en-US" w:eastAsia="zh-CN"/>
              </w:rPr>
              <w:t>杂件类</w:t>
            </w:r>
          </w:p>
        </w:tc>
        <w:tc>
          <w:tcPr>
            <w:tcW w:w="206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cs="Times New Roman"/>
                <w:b/>
                <w:color w:val="FF0000"/>
                <w:sz w:val="32"/>
                <w:szCs w:val="32"/>
                <w:lang w:val="en-US" w:eastAsia="zh-CN"/>
              </w:rPr>
            </w:pPr>
            <w:r>
              <w:rPr>
                <w:rFonts w:hint="eastAsia" w:ascii="宋体" w:hAnsi="宋体" w:cs="Times New Roman"/>
                <w:b/>
                <w:color w:val="FF0000"/>
                <w:sz w:val="32"/>
                <w:szCs w:val="32"/>
                <w:lang w:val="en-US" w:eastAsia="zh-CN"/>
              </w:rPr>
              <w:t>66项</w:t>
            </w:r>
          </w:p>
        </w:tc>
        <w:tc>
          <w:tcPr>
            <w:tcW w:w="1383" w:type="dxa"/>
            <w:tcBorders>
              <w:top w:val="single" w:color="auto" w:sz="4" w:space="0"/>
              <w:left w:val="single" w:color="auto" w:sz="4" w:space="0"/>
              <w:right w:val="single" w:color="auto" w:sz="4" w:space="0"/>
            </w:tcBorders>
            <w:vAlign w:val="bottom"/>
          </w:tcPr>
          <w:p>
            <w:pPr>
              <w:spacing w:line="500" w:lineRule="exact"/>
              <w:jc w:val="center"/>
              <w:rPr>
                <w:rFonts w:hint="eastAsia" w:ascii="宋体" w:hAnsi="宋体" w:cs="Times New Roman"/>
                <w:b/>
                <w:color w:val="FF0000"/>
                <w:sz w:val="32"/>
                <w:szCs w:val="32"/>
                <w:lang w:val="en-US" w:eastAsia="zh-CN"/>
              </w:rPr>
            </w:pPr>
            <w:r>
              <w:rPr>
                <w:rFonts w:hint="eastAsia" w:ascii="宋体" w:hAnsi="宋体" w:cs="Times New Roman"/>
                <w:b/>
                <w:color w:val="FF0000"/>
                <w:sz w:val="32"/>
                <w:szCs w:val="32"/>
                <w:lang w:val="en-US" w:eastAsia="zh-CN"/>
              </w:rPr>
              <w:t>C</w:t>
            </w:r>
          </w:p>
        </w:tc>
        <w:tc>
          <w:tcPr>
            <w:tcW w:w="1600" w:type="dxa"/>
            <w:tcBorders>
              <w:top w:val="single" w:color="auto" w:sz="4" w:space="0"/>
              <w:left w:val="single" w:color="auto" w:sz="4" w:space="0"/>
              <w:right w:val="single" w:color="auto" w:sz="4" w:space="0"/>
            </w:tcBorders>
            <w:vAlign w:val="bottom"/>
          </w:tcPr>
          <w:p>
            <w:pPr>
              <w:spacing w:line="500" w:lineRule="exact"/>
              <w:jc w:val="center"/>
              <w:rPr>
                <w:rFonts w:hint="eastAsia" w:ascii="宋体" w:hAnsi="宋体" w:cs="Times New Roman"/>
                <w:b/>
                <w:color w:val="FF0000"/>
                <w:sz w:val="32"/>
                <w:szCs w:val="32"/>
                <w:lang w:val="en-US" w:eastAsia="zh-CN"/>
              </w:rPr>
            </w:pPr>
            <w:r>
              <w:rPr>
                <w:rFonts w:hint="eastAsia" w:ascii="宋体" w:hAnsi="宋体" w:cs="Times New Roman"/>
                <w:b/>
                <w:color w:val="FF0000"/>
                <w:sz w:val="32"/>
                <w:szCs w:val="32"/>
                <w:lang w:val="en-US" w:eastAsia="zh-CN"/>
              </w:rPr>
              <w:t>标段一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trPr>
        <w:tc>
          <w:tcPr>
            <w:tcW w:w="445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cs="Times New Roman"/>
                <w:b/>
                <w:color w:val="FF0000"/>
                <w:sz w:val="32"/>
                <w:szCs w:val="32"/>
                <w:lang w:val="en-US" w:eastAsia="zh-CN"/>
              </w:rPr>
            </w:pPr>
            <w:r>
              <w:rPr>
                <w:rFonts w:hint="eastAsia" w:ascii="宋体" w:hAnsi="宋体" w:cs="Times New Roman"/>
                <w:b/>
                <w:color w:val="FF0000"/>
                <w:sz w:val="32"/>
                <w:szCs w:val="32"/>
                <w:lang w:val="en-US" w:eastAsia="zh-CN"/>
              </w:rPr>
              <w:t>油刷类</w:t>
            </w:r>
          </w:p>
        </w:tc>
        <w:tc>
          <w:tcPr>
            <w:tcW w:w="206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cs="Times New Roman"/>
                <w:b/>
                <w:color w:val="FF0000"/>
                <w:sz w:val="32"/>
                <w:szCs w:val="32"/>
                <w:lang w:val="en-US" w:eastAsia="zh-CN"/>
              </w:rPr>
            </w:pPr>
            <w:r>
              <w:rPr>
                <w:rFonts w:hint="eastAsia" w:ascii="宋体" w:hAnsi="宋体" w:cs="Times New Roman"/>
                <w:b/>
                <w:color w:val="FF0000"/>
                <w:sz w:val="32"/>
                <w:szCs w:val="32"/>
                <w:lang w:val="en-US" w:eastAsia="zh-CN"/>
              </w:rPr>
              <w:t>10项</w:t>
            </w:r>
          </w:p>
        </w:tc>
        <w:tc>
          <w:tcPr>
            <w:tcW w:w="1383" w:type="dxa"/>
            <w:tcBorders>
              <w:left w:val="single" w:color="auto" w:sz="4" w:space="0"/>
              <w:bottom w:val="single" w:color="auto" w:sz="4" w:space="0"/>
              <w:right w:val="single" w:color="auto" w:sz="4" w:space="0"/>
            </w:tcBorders>
            <w:vAlign w:val="top"/>
          </w:tcPr>
          <w:p>
            <w:pPr>
              <w:spacing w:line="500" w:lineRule="exact"/>
              <w:jc w:val="center"/>
              <w:rPr>
                <w:rFonts w:hint="default" w:ascii="宋体" w:hAnsi="宋体" w:cs="Times New Roman"/>
                <w:b/>
                <w:color w:val="FF0000"/>
                <w:sz w:val="32"/>
                <w:szCs w:val="32"/>
                <w:lang w:val="en-US" w:eastAsia="zh-CN"/>
              </w:rPr>
            </w:pPr>
            <w:r>
              <w:rPr>
                <w:rFonts w:hint="eastAsia" w:ascii="宋体" w:hAnsi="宋体" w:cs="Times New Roman"/>
                <w:b/>
                <w:color w:val="FF0000"/>
                <w:sz w:val="32"/>
                <w:szCs w:val="32"/>
                <w:lang w:val="en-US" w:eastAsia="zh-CN"/>
              </w:rPr>
              <w:t>C</w:t>
            </w:r>
          </w:p>
        </w:tc>
        <w:tc>
          <w:tcPr>
            <w:tcW w:w="1600" w:type="dxa"/>
            <w:tcBorders>
              <w:left w:val="single" w:color="auto" w:sz="4" w:space="0"/>
              <w:bottom w:val="single" w:color="auto" w:sz="4" w:space="0"/>
              <w:right w:val="single" w:color="auto" w:sz="4" w:space="0"/>
            </w:tcBorders>
            <w:vAlign w:val="top"/>
          </w:tcPr>
          <w:p>
            <w:pPr>
              <w:spacing w:line="500" w:lineRule="exact"/>
              <w:jc w:val="center"/>
              <w:rPr>
                <w:rFonts w:hint="eastAsia" w:ascii="宋体" w:hAnsi="宋体" w:cs="Times New Roman"/>
                <w:b/>
                <w:color w:val="FF0000"/>
                <w:sz w:val="32"/>
                <w:szCs w:val="32"/>
                <w:lang w:val="en-US" w:eastAsia="zh-CN"/>
              </w:rPr>
            </w:pPr>
            <w:r>
              <w:rPr>
                <w:rFonts w:hint="eastAsia" w:ascii="宋体" w:hAnsi="宋体" w:cs="Times New Roman"/>
                <w:b/>
                <w:color w:val="FF0000"/>
                <w:sz w:val="32"/>
                <w:szCs w:val="32"/>
                <w:lang w:val="en-US" w:eastAsia="zh-CN"/>
              </w:rPr>
              <w:t>标段二</w:t>
            </w:r>
          </w:p>
        </w:tc>
      </w:tr>
    </w:tbl>
    <w:p>
      <w:pPr>
        <w:pStyle w:val="2"/>
        <w:rPr>
          <w:rFonts w:hint="eastAsia"/>
          <w:lang w:val="en-US" w:eastAsia="zh-CN"/>
        </w:rPr>
      </w:pPr>
    </w:p>
    <w:p>
      <w:pPr>
        <w:numPr>
          <w:ilvl w:val="0"/>
          <w:numId w:val="8"/>
        </w:numPr>
        <w:jc w:val="left"/>
        <w:rPr>
          <w:rFonts w:hint="eastAsia" w:ascii="宋体" w:hAnsi="宋体" w:cs="宋体"/>
          <w:sz w:val="28"/>
          <w:szCs w:val="28"/>
          <w:lang w:val="en-US" w:eastAsia="zh-CN"/>
        </w:rPr>
      </w:pPr>
      <w:r>
        <w:rPr>
          <w:rFonts w:hint="eastAsia" w:ascii="宋体" w:hAnsi="宋体" w:cs="宋体"/>
          <w:sz w:val="28"/>
          <w:szCs w:val="28"/>
          <w:lang w:val="en-US" w:eastAsia="zh-CN"/>
        </w:rPr>
        <w:t>报价不得缺项。符合国标和相关行业标准，满足需方使用要求，提供产品质保书、合格证；</w:t>
      </w:r>
    </w:p>
    <w:p>
      <w:pPr>
        <w:numPr>
          <w:ilvl w:val="0"/>
          <w:numId w:val="8"/>
        </w:numPr>
        <w:jc w:val="left"/>
        <w:rPr>
          <w:rFonts w:hint="eastAsia" w:ascii="宋体" w:hAnsi="宋体" w:cs="宋体"/>
          <w:sz w:val="28"/>
          <w:szCs w:val="28"/>
          <w:lang w:val="en-US" w:eastAsia="zh-CN"/>
        </w:rPr>
      </w:pPr>
      <w:r>
        <w:rPr>
          <w:rFonts w:hint="eastAsia" w:ascii="宋体" w:hAnsi="宋体" w:cs="宋体"/>
          <w:sz w:val="28"/>
          <w:szCs w:val="28"/>
          <w:lang w:val="en-US" w:eastAsia="zh-CN"/>
        </w:rPr>
        <w:t>具有相关行业的供货业绩。</w:t>
      </w:r>
    </w:p>
    <w:p>
      <w:pPr>
        <w:numPr>
          <w:ilvl w:val="0"/>
          <w:numId w:val="8"/>
        </w:numPr>
        <w:jc w:val="left"/>
        <w:rPr>
          <w:rFonts w:hint="eastAsia" w:ascii="宋体" w:hAnsi="宋体" w:cs="宋体"/>
          <w:sz w:val="28"/>
          <w:szCs w:val="28"/>
          <w:lang w:val="en-US" w:eastAsia="zh-CN"/>
        </w:rPr>
      </w:pPr>
      <w:r>
        <w:rPr>
          <w:rFonts w:hint="eastAsia" w:ascii="宋体" w:hAnsi="宋体" w:cs="宋体"/>
          <w:sz w:val="28"/>
          <w:szCs w:val="28"/>
          <w:lang w:val="en-US" w:eastAsia="zh-CN"/>
        </w:rPr>
        <w:t>本次招标项目合同期限为6个月。所报物资单价为含13％增值税、含运费价格</w:t>
      </w:r>
    </w:p>
    <w:p>
      <w:pPr>
        <w:numPr>
          <w:ilvl w:val="0"/>
          <w:numId w:val="8"/>
        </w:numPr>
        <w:jc w:val="left"/>
        <w:rPr>
          <w:rFonts w:hint="eastAsia" w:ascii="宋体" w:hAnsi="宋体" w:cs="宋体"/>
          <w:sz w:val="28"/>
          <w:szCs w:val="28"/>
          <w:lang w:val="en-US" w:eastAsia="zh-CN"/>
        </w:rPr>
      </w:pPr>
      <w:r>
        <w:rPr>
          <w:rFonts w:hint="eastAsia" w:ascii="宋体" w:hAnsi="宋体" w:cs="宋体"/>
          <w:sz w:val="28"/>
          <w:szCs w:val="28"/>
          <w:lang w:val="en-US" w:eastAsia="zh-CN"/>
        </w:rPr>
        <w:t>本次合同签订以单价签订，具体供应数量及规格以需方书面通知为准</w:t>
      </w:r>
    </w:p>
    <w:p>
      <w:pPr>
        <w:numPr>
          <w:ilvl w:val="0"/>
          <w:numId w:val="8"/>
        </w:numPr>
        <w:jc w:val="left"/>
        <w:rPr>
          <w:rFonts w:hint="eastAsia" w:ascii="宋体" w:hAnsi="宋体" w:cs="宋体"/>
          <w:sz w:val="28"/>
          <w:szCs w:val="28"/>
          <w:lang w:val="en-US" w:eastAsia="zh-CN"/>
        </w:rPr>
      </w:pPr>
      <w:r>
        <w:rPr>
          <w:rFonts w:hint="eastAsia" w:ascii="宋体" w:hAnsi="宋体" w:cs="宋体"/>
          <w:sz w:val="28"/>
          <w:szCs w:val="28"/>
          <w:lang w:val="en-US" w:eastAsia="zh-CN"/>
        </w:rPr>
        <w:t>招标厂家必须带样品用以展示，作为评标参考依据。</w:t>
      </w:r>
    </w:p>
    <w:p/>
    <w:p>
      <w:pPr>
        <w:pStyle w:val="2"/>
      </w:pPr>
    </w:p>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1月10日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委托单位：    </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法定代表人：</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杂件类及油刷类</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96692"/>
    <w:rsid w:val="091039B0"/>
    <w:rsid w:val="0A205F87"/>
    <w:rsid w:val="0A823C2F"/>
    <w:rsid w:val="0B6D4325"/>
    <w:rsid w:val="0B8301A2"/>
    <w:rsid w:val="0B982FFA"/>
    <w:rsid w:val="0BFF25BD"/>
    <w:rsid w:val="0C9D0D96"/>
    <w:rsid w:val="0CA62D9D"/>
    <w:rsid w:val="0CBC295F"/>
    <w:rsid w:val="0CE134EE"/>
    <w:rsid w:val="0D1E2C33"/>
    <w:rsid w:val="0D51069C"/>
    <w:rsid w:val="0DF07D84"/>
    <w:rsid w:val="0E497616"/>
    <w:rsid w:val="0E842CB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DF4184"/>
    <w:rsid w:val="1E4E07CF"/>
    <w:rsid w:val="1E937D02"/>
    <w:rsid w:val="1EF12D6D"/>
    <w:rsid w:val="1F4242F7"/>
    <w:rsid w:val="1F493FD6"/>
    <w:rsid w:val="1F574444"/>
    <w:rsid w:val="1F802445"/>
    <w:rsid w:val="1F9C7C18"/>
    <w:rsid w:val="1FCE30BE"/>
    <w:rsid w:val="201B0D35"/>
    <w:rsid w:val="206D22B7"/>
    <w:rsid w:val="20A32AEB"/>
    <w:rsid w:val="20C52302"/>
    <w:rsid w:val="210E6638"/>
    <w:rsid w:val="21133B37"/>
    <w:rsid w:val="21534F77"/>
    <w:rsid w:val="21830930"/>
    <w:rsid w:val="21A2160C"/>
    <w:rsid w:val="21C14169"/>
    <w:rsid w:val="22594BD8"/>
    <w:rsid w:val="226517B9"/>
    <w:rsid w:val="22B96773"/>
    <w:rsid w:val="22E00851"/>
    <w:rsid w:val="232232D0"/>
    <w:rsid w:val="234A6E25"/>
    <w:rsid w:val="2364344B"/>
    <w:rsid w:val="23D22DCD"/>
    <w:rsid w:val="23F37445"/>
    <w:rsid w:val="23FE1AD5"/>
    <w:rsid w:val="2407208A"/>
    <w:rsid w:val="246C42C3"/>
    <w:rsid w:val="24752FF2"/>
    <w:rsid w:val="24DC19A5"/>
    <w:rsid w:val="25225826"/>
    <w:rsid w:val="25656E3E"/>
    <w:rsid w:val="25B129B0"/>
    <w:rsid w:val="25C1100C"/>
    <w:rsid w:val="25D875A1"/>
    <w:rsid w:val="2636629B"/>
    <w:rsid w:val="26906DEB"/>
    <w:rsid w:val="26A94FB1"/>
    <w:rsid w:val="26F50CB1"/>
    <w:rsid w:val="278055FF"/>
    <w:rsid w:val="2797515A"/>
    <w:rsid w:val="27D019DA"/>
    <w:rsid w:val="282D1ACD"/>
    <w:rsid w:val="288D3DC5"/>
    <w:rsid w:val="28CC316F"/>
    <w:rsid w:val="28D66C24"/>
    <w:rsid w:val="28E2171B"/>
    <w:rsid w:val="290A0094"/>
    <w:rsid w:val="29401D6D"/>
    <w:rsid w:val="2959266F"/>
    <w:rsid w:val="2A225DF1"/>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300541EB"/>
    <w:rsid w:val="30273B88"/>
    <w:rsid w:val="3036622A"/>
    <w:rsid w:val="3069220C"/>
    <w:rsid w:val="30CA3841"/>
    <w:rsid w:val="3130279D"/>
    <w:rsid w:val="320F084E"/>
    <w:rsid w:val="322C2414"/>
    <w:rsid w:val="32B01E99"/>
    <w:rsid w:val="32B83268"/>
    <w:rsid w:val="32D810E7"/>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6378A9"/>
    <w:rsid w:val="48DB7B25"/>
    <w:rsid w:val="48FD590D"/>
    <w:rsid w:val="49280B38"/>
    <w:rsid w:val="493B3AD2"/>
    <w:rsid w:val="494E52FD"/>
    <w:rsid w:val="49555670"/>
    <w:rsid w:val="498E20D3"/>
    <w:rsid w:val="49AF7A8B"/>
    <w:rsid w:val="49C70B56"/>
    <w:rsid w:val="49F03C52"/>
    <w:rsid w:val="49F60A04"/>
    <w:rsid w:val="4A6C696D"/>
    <w:rsid w:val="4A8208D9"/>
    <w:rsid w:val="4AD056CA"/>
    <w:rsid w:val="4B1A4200"/>
    <w:rsid w:val="4B222474"/>
    <w:rsid w:val="4B5A6867"/>
    <w:rsid w:val="4B635392"/>
    <w:rsid w:val="4B9C3E7A"/>
    <w:rsid w:val="4BA21255"/>
    <w:rsid w:val="4BAF6616"/>
    <w:rsid w:val="4BC539BB"/>
    <w:rsid w:val="4C0C0983"/>
    <w:rsid w:val="4C442BFE"/>
    <w:rsid w:val="4C7E3A40"/>
    <w:rsid w:val="4CA167AC"/>
    <w:rsid w:val="4CA57EEC"/>
    <w:rsid w:val="4CAC16D1"/>
    <w:rsid w:val="4D275349"/>
    <w:rsid w:val="4D2C242E"/>
    <w:rsid w:val="4DC66F68"/>
    <w:rsid w:val="4E333D4F"/>
    <w:rsid w:val="4E402B66"/>
    <w:rsid w:val="4F561931"/>
    <w:rsid w:val="508F41A9"/>
    <w:rsid w:val="50C93520"/>
    <w:rsid w:val="50F91817"/>
    <w:rsid w:val="51A458AF"/>
    <w:rsid w:val="51B20F3F"/>
    <w:rsid w:val="51C400D5"/>
    <w:rsid w:val="522A6D6D"/>
    <w:rsid w:val="52EE0AE7"/>
    <w:rsid w:val="535208F1"/>
    <w:rsid w:val="536C262F"/>
    <w:rsid w:val="536D4073"/>
    <w:rsid w:val="53B74312"/>
    <w:rsid w:val="53E43F94"/>
    <w:rsid w:val="53F66457"/>
    <w:rsid w:val="54067FE7"/>
    <w:rsid w:val="54662BFB"/>
    <w:rsid w:val="546A505A"/>
    <w:rsid w:val="554C057B"/>
    <w:rsid w:val="55575FD1"/>
    <w:rsid w:val="5580342D"/>
    <w:rsid w:val="56466BB0"/>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D29641E"/>
    <w:rsid w:val="5DB22A0D"/>
    <w:rsid w:val="5DCF374A"/>
    <w:rsid w:val="5E1F3B6D"/>
    <w:rsid w:val="5E611270"/>
    <w:rsid w:val="5EB10C27"/>
    <w:rsid w:val="5EB2026E"/>
    <w:rsid w:val="5F0B632E"/>
    <w:rsid w:val="5F275132"/>
    <w:rsid w:val="5F3724D8"/>
    <w:rsid w:val="5F520A02"/>
    <w:rsid w:val="5F8D5A94"/>
    <w:rsid w:val="6043298E"/>
    <w:rsid w:val="60687527"/>
    <w:rsid w:val="61033D16"/>
    <w:rsid w:val="625B24D7"/>
    <w:rsid w:val="62653CD7"/>
    <w:rsid w:val="62CD795C"/>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9A32240"/>
    <w:rsid w:val="6AE713EB"/>
    <w:rsid w:val="6B912AE5"/>
    <w:rsid w:val="6BB603AF"/>
    <w:rsid w:val="6BDE4C50"/>
    <w:rsid w:val="6BF2040D"/>
    <w:rsid w:val="6C332FD3"/>
    <w:rsid w:val="6C7B13C4"/>
    <w:rsid w:val="6CA73029"/>
    <w:rsid w:val="6CA824D7"/>
    <w:rsid w:val="6CB6289B"/>
    <w:rsid w:val="6CEE6E5F"/>
    <w:rsid w:val="6D7F552C"/>
    <w:rsid w:val="6D8A7502"/>
    <w:rsid w:val="6D8C6A01"/>
    <w:rsid w:val="6E4F66B0"/>
    <w:rsid w:val="6E93756A"/>
    <w:rsid w:val="6ED71557"/>
    <w:rsid w:val="6F1F6C63"/>
    <w:rsid w:val="6F654899"/>
    <w:rsid w:val="6FAC3760"/>
    <w:rsid w:val="6FD36B06"/>
    <w:rsid w:val="6FF92BBA"/>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AFB3C28"/>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494A78"/>
    <w:rsid w:val="7E5A3736"/>
    <w:rsid w:val="7E7C7834"/>
    <w:rsid w:val="7EA83C8C"/>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3</TotalTime>
  <ScaleCrop>false</ScaleCrop>
  <LinksUpToDate>false</LinksUpToDate>
  <CharactersWithSpaces>5419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2021-03-16T08:13:00Z</cp:lastPrinted>
  <dcterms:modified xsi:type="dcterms:W3CDTF">2022-01-10T15:08:04Z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D3894DA2359E4D86A6EC87FD46198235</vt:lpwstr>
  </property>
</Properties>
</file>