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特喷线改造项目</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 月21日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201011TPXGZ</w:t>
      </w:r>
      <w:r>
        <w:rPr>
          <w:rFonts w:hint="eastAsia" w:ascii="宋体" w:hAnsi="宋体"/>
          <w:color w:val="FF0000"/>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特喷线改造项目</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张</w:t>
      </w:r>
      <w:r>
        <w:rPr>
          <w:rFonts w:hint="eastAsia" w:ascii="宋体" w:hAnsi="宋体"/>
          <w:sz w:val="24"/>
          <w:szCs w:val="24"/>
          <w:highlight w:val="none"/>
          <w:lang w:eastAsia="zh-CN"/>
        </w:rPr>
        <w:t xml:space="preserve">  工   1</w:t>
      </w:r>
      <w:r>
        <w:rPr>
          <w:rFonts w:hint="eastAsia" w:ascii="宋体" w:hAnsi="宋体"/>
          <w:sz w:val="24"/>
          <w:szCs w:val="24"/>
          <w:highlight w:val="none"/>
          <w:lang w:val="en-US" w:eastAsia="zh-CN"/>
        </w:rPr>
        <w:t>8155369100</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 xml:space="preserve">铸锻部：       陈  工   </w:t>
      </w:r>
      <w:r>
        <w:rPr>
          <w:rFonts w:hint="eastAsia" w:ascii="宋体" w:hAnsi="宋体"/>
          <w:sz w:val="24"/>
          <w:szCs w:val="24"/>
          <w:highlight w:val="none"/>
          <w:lang w:eastAsia="zh-CN"/>
        </w:rPr>
        <w:t>15</w:t>
      </w:r>
      <w:r>
        <w:rPr>
          <w:rFonts w:hint="eastAsia" w:ascii="宋体" w:hAnsi="宋体"/>
          <w:sz w:val="24"/>
          <w:szCs w:val="24"/>
          <w:highlight w:val="none"/>
          <w:lang w:val="en-US" w:eastAsia="zh-CN"/>
        </w:rPr>
        <w:t>555372920</w:t>
      </w:r>
    </w:p>
    <w:p>
      <w:pPr>
        <w:ind w:firstLine="720" w:firstLineChars="300"/>
        <w:rPr>
          <w:rFonts w:hint="eastAsia" w:ascii="宋体" w:hAnsi="宋体" w:cs="Times New Roman"/>
          <w:kern w:val="2"/>
          <w:sz w:val="24"/>
          <w:szCs w:val="24"/>
          <w:highlight w:val="none"/>
          <w:lang w:val="en-US" w:eastAsia="zh-CN" w:bidi="ar-SA"/>
        </w:rPr>
      </w:pPr>
      <w:r>
        <w:rPr>
          <w:rFonts w:hint="eastAsia" w:ascii="宋体" w:hAnsi="宋体"/>
          <w:sz w:val="24"/>
          <w:szCs w:val="24"/>
          <w:highlight w:val="none"/>
          <w:lang w:val="en-US" w:eastAsia="zh-CN"/>
        </w:rPr>
        <w:t xml:space="preserve">工程管理部：   金  </w:t>
      </w:r>
      <w:r>
        <w:rPr>
          <w:rFonts w:hint="eastAsia" w:ascii="宋体" w:hAnsi="宋体" w:eastAsia="宋体" w:cs="Times New Roman"/>
          <w:kern w:val="2"/>
          <w:sz w:val="24"/>
          <w:szCs w:val="24"/>
          <w:highlight w:val="none"/>
          <w:lang w:val="en-US" w:eastAsia="zh-CN" w:bidi="ar-SA"/>
        </w:rPr>
        <w:t>工   1</w:t>
      </w:r>
      <w:r>
        <w:rPr>
          <w:rFonts w:hint="eastAsia" w:ascii="宋体" w:hAnsi="宋体" w:cs="Times New Roman"/>
          <w:kern w:val="2"/>
          <w:sz w:val="24"/>
          <w:szCs w:val="24"/>
          <w:highlight w:val="none"/>
          <w:lang w:val="en-US" w:eastAsia="zh-CN" w:bidi="ar-SA"/>
        </w:rPr>
        <w:t>7855353516</w:t>
      </w:r>
    </w:p>
    <w:p>
      <w:pPr>
        <w:ind w:firstLine="720" w:firstLineChars="300"/>
        <w:rPr>
          <w:rFonts w:hint="default"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 xml:space="preserve">工程管理部：   周  </w:t>
      </w:r>
      <w:r>
        <w:rPr>
          <w:rFonts w:hint="eastAsia" w:ascii="宋体" w:hAnsi="宋体" w:eastAsia="宋体" w:cs="Times New Roman"/>
          <w:kern w:val="2"/>
          <w:sz w:val="24"/>
          <w:szCs w:val="24"/>
          <w:highlight w:val="none"/>
          <w:lang w:val="en-US" w:eastAsia="zh-CN" w:bidi="ar-SA"/>
        </w:rPr>
        <w:t>工   1</w:t>
      </w:r>
      <w:r>
        <w:rPr>
          <w:rFonts w:hint="eastAsia" w:ascii="宋体" w:hAnsi="宋体" w:cs="Times New Roman"/>
          <w:kern w:val="2"/>
          <w:sz w:val="24"/>
          <w:szCs w:val="24"/>
          <w:highlight w:val="none"/>
          <w:lang w:val="en-US" w:eastAsia="zh-CN" w:bidi="ar-SA"/>
        </w:rPr>
        <w:t>3095538240</w:t>
      </w:r>
    </w:p>
    <w:p>
      <w:pPr>
        <w:pStyle w:val="2"/>
        <w:rPr>
          <w:rFonts w:hint="default"/>
          <w:lang w:val="en-US" w:eastAsia="zh-CN"/>
        </w:rPr>
      </w:pP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14</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2月</w:t>
      </w:r>
      <w:r>
        <w:rPr>
          <w:rFonts w:hint="eastAsia" w:ascii="宋体" w:hAnsi="宋体"/>
          <w:bCs/>
          <w:color w:val="FF0000"/>
          <w:sz w:val="24"/>
          <w:szCs w:val="24"/>
          <w:highlight w:val="none"/>
          <w:lang w:val="en-US" w:eastAsia="zh-CN"/>
        </w:rPr>
        <w:t>18</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捌万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14</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pStyle w:val="2"/>
        <w:ind w:firstLine="480" w:firstLineChars="200"/>
        <w:rPr>
          <w:rFonts w:hint="eastAsia" w:ascii="宋体" w:hAnsi="宋体" w:eastAsia="宋体" w:cs="宋体"/>
          <w:bCs/>
          <w:sz w:val="24"/>
          <w:szCs w:val="24"/>
          <w:lang w:eastAsia="zh-CN"/>
        </w:rPr>
      </w:pPr>
      <w:r>
        <w:rPr>
          <w:rFonts w:hint="eastAsia" w:ascii="宋体" w:hAnsi="宋体" w:eastAsia="宋体" w:cs="Times New Roman"/>
          <w:kern w:val="2"/>
          <w:sz w:val="24"/>
          <w:szCs w:val="24"/>
          <w:lang w:val="en-US" w:eastAsia="zh-CN" w:bidi="ar-SA"/>
        </w:rPr>
        <w:t>（5）</w:t>
      </w:r>
      <w:r>
        <w:rPr>
          <w:rFonts w:hint="eastAsia" w:ascii="宋体" w:hAnsi="宋体" w:eastAsia="宋体" w:cs="宋体"/>
          <w:bCs/>
          <w:sz w:val="24"/>
          <w:szCs w:val="24"/>
        </w:rPr>
        <w:t>投标方资质</w:t>
      </w:r>
      <w:r>
        <w:rPr>
          <w:rFonts w:hint="eastAsia" w:ascii="宋体" w:hAnsi="宋体" w:eastAsia="宋体" w:cs="宋体"/>
          <w:bCs/>
          <w:sz w:val="24"/>
          <w:szCs w:val="24"/>
          <w:lang w:val="en-US" w:eastAsia="zh-CN"/>
        </w:rPr>
        <w:t>应</w:t>
      </w:r>
      <w:r>
        <w:rPr>
          <w:rFonts w:hint="eastAsia" w:ascii="宋体" w:hAnsi="宋体" w:eastAsia="宋体" w:cs="宋体"/>
          <w:bCs/>
          <w:sz w:val="24"/>
          <w:szCs w:val="24"/>
        </w:rPr>
        <w:t>满足</w:t>
      </w:r>
      <w:r>
        <w:rPr>
          <w:rFonts w:hint="eastAsia" w:ascii="宋体" w:hAnsi="宋体" w:eastAsia="宋体" w:cs="宋体"/>
          <w:bCs/>
          <w:sz w:val="24"/>
          <w:szCs w:val="24"/>
          <w:lang w:eastAsia="zh-CN"/>
        </w:rPr>
        <w:t>：</w:t>
      </w:r>
      <w:r>
        <w:rPr>
          <w:rFonts w:hint="eastAsia" w:ascii="宋体" w:hAnsi="宋体" w:eastAsia="宋体" w:cs="宋体"/>
          <w:bCs/>
          <w:sz w:val="24"/>
          <w:szCs w:val="24"/>
        </w:rPr>
        <w:t>设计资质：</w:t>
      </w:r>
      <w:r>
        <w:rPr>
          <w:rFonts w:hint="eastAsia" w:ascii="宋体" w:hAnsi="宋体" w:eastAsia="宋体"/>
          <w:sz w:val="24"/>
          <w:szCs w:val="24"/>
        </w:rPr>
        <w:t>环保工程（大气污染防治工程）专项</w:t>
      </w:r>
      <w:r>
        <w:rPr>
          <w:rFonts w:hint="eastAsia" w:ascii="宋体" w:hAnsi="宋体" w:eastAsia="宋体"/>
          <w:sz w:val="24"/>
          <w:szCs w:val="24"/>
          <w:highlight w:val="none"/>
          <w:lang w:eastAsia="zh-CN"/>
        </w:rPr>
        <w:t>乙</w:t>
      </w:r>
      <w:r>
        <w:rPr>
          <w:rFonts w:hint="eastAsia" w:ascii="宋体" w:hAnsi="宋体" w:eastAsia="宋体"/>
          <w:sz w:val="24"/>
          <w:szCs w:val="24"/>
          <w:highlight w:val="none"/>
        </w:rPr>
        <w:t>级</w:t>
      </w:r>
      <w:r>
        <w:rPr>
          <w:rFonts w:hint="eastAsia" w:ascii="宋体" w:hAnsi="宋体" w:eastAsia="宋体"/>
          <w:sz w:val="24"/>
          <w:szCs w:val="24"/>
        </w:rPr>
        <w:t>及以上资</w:t>
      </w:r>
      <w:r>
        <w:rPr>
          <w:rFonts w:hint="eastAsia" w:ascii="宋体" w:hAnsi="宋体" w:eastAsia="宋体"/>
          <w:sz w:val="24"/>
          <w:szCs w:val="24"/>
          <w:highlight w:val="none"/>
        </w:rPr>
        <w:t>质</w:t>
      </w:r>
      <w:r>
        <w:rPr>
          <w:rFonts w:hint="eastAsia"/>
          <w:bCs/>
          <w:sz w:val="28"/>
          <w:szCs w:val="28"/>
          <w:highlight w:val="none"/>
          <w:lang w:val="en-US" w:eastAsia="zh-CN"/>
        </w:rPr>
        <w:t>；</w:t>
      </w:r>
      <w:r>
        <w:rPr>
          <w:rFonts w:hint="eastAsia" w:ascii="宋体" w:hAnsi="宋体" w:eastAsia="宋体" w:cs="宋体"/>
          <w:bCs/>
          <w:sz w:val="24"/>
          <w:szCs w:val="24"/>
          <w:highlight w:val="none"/>
        </w:rPr>
        <w:t>施</w:t>
      </w:r>
      <w:r>
        <w:rPr>
          <w:rFonts w:hint="eastAsia" w:ascii="宋体" w:hAnsi="宋体" w:eastAsia="宋体" w:cs="宋体"/>
          <w:bCs/>
          <w:sz w:val="24"/>
          <w:szCs w:val="24"/>
        </w:rPr>
        <w:t>工资质：</w:t>
      </w:r>
      <w:r>
        <w:rPr>
          <w:rFonts w:hint="eastAsia" w:ascii="宋体" w:hAnsi="宋体" w:eastAsia="宋体" w:cs="宋体"/>
          <w:bCs/>
          <w:sz w:val="24"/>
          <w:szCs w:val="24"/>
          <w:highlight w:val="none"/>
        </w:rPr>
        <w:t>环保工程专业承包</w:t>
      </w:r>
      <w:r>
        <w:rPr>
          <w:rFonts w:hint="eastAsia" w:ascii="宋体" w:hAnsi="宋体" w:eastAsia="宋体" w:cs="宋体"/>
          <w:bCs/>
          <w:sz w:val="24"/>
          <w:szCs w:val="24"/>
          <w:highlight w:val="none"/>
          <w:lang w:eastAsia="zh-CN"/>
        </w:rPr>
        <w:t>三</w:t>
      </w:r>
      <w:r>
        <w:rPr>
          <w:rFonts w:hint="eastAsia" w:ascii="宋体" w:hAnsi="宋体" w:eastAsia="宋体" w:cs="宋体"/>
          <w:bCs/>
          <w:sz w:val="24"/>
          <w:szCs w:val="24"/>
          <w:highlight w:val="none"/>
        </w:rPr>
        <w:t>级</w:t>
      </w:r>
      <w:r>
        <w:rPr>
          <w:rFonts w:hint="eastAsia" w:ascii="宋体" w:hAnsi="宋体" w:eastAsia="宋体" w:cs="宋体"/>
          <w:bCs/>
          <w:sz w:val="24"/>
          <w:szCs w:val="24"/>
        </w:rPr>
        <w:t>及以上资</w:t>
      </w:r>
      <w:bookmarkStart w:id="0" w:name="_GoBack"/>
      <w:bookmarkEnd w:id="0"/>
      <w:r>
        <w:rPr>
          <w:rFonts w:hint="eastAsia" w:ascii="宋体" w:hAnsi="宋体" w:eastAsia="宋体" w:cs="宋体"/>
          <w:bCs/>
          <w:sz w:val="24"/>
          <w:szCs w:val="24"/>
        </w:rPr>
        <w:t>质或机电工程施工总承包三级及以上资质</w:t>
      </w:r>
      <w:r>
        <w:rPr>
          <w:rFonts w:hint="eastAsia" w:ascii="宋体" w:hAnsi="宋体" w:eastAsia="宋体" w:cs="宋体"/>
          <w:bCs/>
          <w:sz w:val="24"/>
          <w:szCs w:val="24"/>
          <w:lang w:eastAsia="zh-CN"/>
        </w:rPr>
        <w:t>。</w:t>
      </w:r>
    </w:p>
    <w:p>
      <w:pPr>
        <w:ind w:firstLine="480" w:firstLineChars="200"/>
        <w:rPr>
          <w:rFonts w:hint="default" w:ascii="宋体" w:hAnsi="宋体" w:eastAsia="宋体"/>
          <w:sz w:val="24"/>
          <w:lang w:val="zh-CN" w:eastAsia="zh-CN"/>
        </w:rPr>
      </w:pPr>
      <w:r>
        <w:rPr>
          <w:rFonts w:hint="eastAsia" w:ascii="宋体" w:hAnsi="宋体" w:eastAsia="宋体" w:cs="Times New Roman"/>
          <w:kern w:val="2"/>
          <w:sz w:val="24"/>
          <w:szCs w:val="24"/>
          <w:lang w:val="en-US" w:eastAsia="zh-CN" w:bidi="ar-SA"/>
        </w:rPr>
        <w:t>（6）</w:t>
      </w:r>
      <w:r>
        <w:rPr>
          <w:rFonts w:hint="default" w:ascii="宋体" w:hAnsi="宋体" w:eastAsia="宋体"/>
          <w:sz w:val="24"/>
          <w:lang w:val="zh-CN" w:eastAsia="zh-CN"/>
        </w:rPr>
        <w:t>具有有效的安全生产许可证</w:t>
      </w:r>
    </w:p>
    <w:p>
      <w:pPr>
        <w:pStyle w:val="2"/>
        <w:rPr>
          <w:rFonts w:hint="default"/>
          <w:lang w:val="en-US" w:eastAsia="zh-CN"/>
        </w:rPr>
      </w:pPr>
      <w:r>
        <w:rPr>
          <w:rFonts w:hint="eastAsia" w:ascii="宋体" w:hAnsi="宋体"/>
          <w:sz w:val="24"/>
          <w:lang w:val="en-US" w:eastAsia="zh-CN"/>
        </w:rPr>
        <w:t xml:space="preserve">    </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7</w:t>
      </w:r>
      <w:r>
        <w:rPr>
          <w:rFonts w:hint="eastAsia" w:ascii="宋体" w:hAnsi="宋体" w:eastAsia="宋体" w:cs="Times New Roman"/>
          <w:kern w:val="2"/>
          <w:sz w:val="24"/>
          <w:szCs w:val="24"/>
          <w:lang w:val="en-US" w:eastAsia="zh-CN" w:bidi="ar-SA"/>
        </w:rPr>
        <w:t>）</w:t>
      </w:r>
      <w:r>
        <w:rPr>
          <w:rFonts w:hint="eastAsia" w:ascii="宋体" w:hAnsi="宋体"/>
          <w:sz w:val="24"/>
          <w:lang w:val="en-US" w:eastAsia="zh-CN"/>
        </w:rPr>
        <w:t>付款方式，交货期必须在商务标中做出响应，明确交货期和付款方式。</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8</w:t>
      </w:r>
      <w:r>
        <w:rPr>
          <w:rFonts w:hint="eastAsia" w:ascii="宋体" w:hAnsi="宋体" w:eastAsia="宋体" w:cs="Times New Roman"/>
          <w:kern w:val="2"/>
          <w:sz w:val="24"/>
          <w:szCs w:val="24"/>
          <w:lang w:val="en-US" w:eastAsia="zh-CN" w:bidi="ar-SA"/>
        </w:rPr>
        <w:t>）具有法律、法规和招标人规定的其他条件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24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24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24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24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24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24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24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24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240" w:lineRule="auto"/>
        <w:ind w:firstLine="55"/>
        <w:rPr>
          <w:rFonts w:ascii="宋体" w:hAnsi="宋体"/>
          <w:bCs/>
          <w:sz w:val="24"/>
          <w:szCs w:val="24"/>
        </w:rPr>
      </w:pPr>
      <w:r>
        <w:rPr>
          <w:rFonts w:hint="eastAsia" w:ascii="宋体" w:hAnsi="宋体"/>
          <w:bCs/>
          <w:sz w:val="24"/>
          <w:szCs w:val="24"/>
        </w:rPr>
        <w:t>以他人名义投标的。</w:t>
      </w:r>
    </w:p>
    <w:p>
      <w:pPr>
        <w:spacing w:line="24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24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24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240" w:lineRule="auto"/>
        <w:ind w:firstLine="420" w:firstLineChars="200"/>
        <w:rPr>
          <w:rFonts w:hint="eastAsia" w:ascii="宋体" w:hAnsi="宋体"/>
          <w:lang w:val="en-US" w:eastAsia="zh-CN"/>
        </w:rPr>
      </w:pPr>
      <w:r>
        <w:rPr>
          <w:rFonts w:hint="eastAsia" w:ascii="宋体" w:hAnsi="宋体"/>
        </w:rPr>
        <w:t>1、</w:t>
      </w:r>
      <w:r>
        <w:rPr>
          <w:rFonts w:hint="eastAsia" w:ascii="宋体" w:hAnsi="宋体"/>
          <w:lang w:val="en-US" w:eastAsia="zh-CN"/>
        </w:rPr>
        <w:t>设备合同</w:t>
      </w:r>
      <w:r>
        <w:rPr>
          <w:rFonts w:hint="eastAsia" w:ascii="宋体" w:hAnsi="宋体"/>
        </w:rPr>
        <w:t>拟付款方式：</w:t>
      </w:r>
      <w:r>
        <w:rPr>
          <w:rFonts w:hint="eastAsia" w:ascii="宋体" w:hAnsi="宋体"/>
          <w:lang w:val="en-US" w:eastAsia="zh-CN"/>
        </w:rPr>
        <w:t>货到安装调试完毕且验收合格后付60%，正常使用3个月后付30%，质保10%一年无异议后付清。</w:t>
      </w:r>
    </w:p>
    <w:p>
      <w:pPr>
        <w:spacing w:line="240" w:lineRule="auto"/>
        <w:ind w:firstLine="420" w:firstLineChars="200"/>
        <w:rPr>
          <w:rFonts w:hint="eastAsia" w:ascii="宋体" w:hAnsi="宋体"/>
        </w:rPr>
      </w:pPr>
      <w:r>
        <w:rPr>
          <w:rFonts w:hint="eastAsia" w:ascii="宋体" w:hAnsi="宋体"/>
        </w:rPr>
        <w:t>2、结算方式：均为6个月银行承兑汇票。</w:t>
      </w:r>
    </w:p>
    <w:p>
      <w:pPr>
        <w:spacing w:line="240" w:lineRule="auto"/>
        <w:ind w:firstLine="420" w:firstLineChars="200"/>
        <w:rPr>
          <w:rFonts w:hint="eastAsia" w:ascii="宋体" w:hAnsi="宋体"/>
        </w:rPr>
      </w:pPr>
      <w:r>
        <w:rPr>
          <w:rFonts w:hint="eastAsia" w:ascii="宋体" w:hAnsi="宋体"/>
        </w:rPr>
        <w:t>3、交货地点：芜湖新兴铸管有限责任公司三山区现场。</w:t>
      </w:r>
    </w:p>
    <w:p>
      <w:pPr>
        <w:spacing w:line="240" w:lineRule="auto"/>
        <w:ind w:firstLine="420" w:firstLineChars="200"/>
        <w:rPr>
          <w:rFonts w:hint="default" w:ascii="宋体" w:hAnsi="宋体"/>
          <w:lang w:val="en-US" w:eastAsia="zh-CN"/>
        </w:rPr>
      </w:pPr>
      <w:r>
        <w:rPr>
          <w:rFonts w:hint="eastAsia" w:ascii="宋体" w:hAnsi="宋体"/>
          <w:lang w:val="en-US" w:eastAsia="zh-CN"/>
        </w:rPr>
        <w:t>4、建议交货期（含安装）：120天。</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spacing w:line="240" w:lineRule="auto"/>
        <w:ind w:left="638" w:leftChars="304"/>
        <w:rPr>
          <w:rFonts w:hint="eastAsia" w:ascii="宋体" w:hAnsi="宋体"/>
          <w:sz w:val="24"/>
          <w:szCs w:val="24"/>
        </w:rPr>
      </w:pPr>
      <w:r>
        <w:rPr>
          <w:rFonts w:hint="eastAsia" w:ascii="宋体" w:hAnsi="宋体"/>
          <w:sz w:val="24"/>
          <w:szCs w:val="24"/>
        </w:rPr>
        <w:t>本次招标采取综合评分的方式进行评标。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p>
    <w:p>
      <w:pPr>
        <w:spacing w:line="240" w:lineRule="auto"/>
        <w:rPr>
          <w:rFonts w:hint="eastAsia"/>
        </w:rPr>
      </w:pPr>
      <w:r>
        <w:rPr>
          <w:rFonts w:hint="eastAsia"/>
          <w:lang w:val="en-US" w:eastAsia="zh-CN"/>
        </w:rPr>
        <w:t>B</w:t>
      </w:r>
      <w:r>
        <w:rPr>
          <w:rFonts w:hint="eastAsia"/>
        </w:rPr>
        <w:t>类物资采购招标评分标准：</w:t>
      </w:r>
    </w:p>
    <w:p>
      <w:pPr>
        <w:spacing w:line="24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价格：满分 40 分。满足招标文件要求的前提下，取所有投标方有效报价的最低价作为评标基准价，其得分为 40 分，其他得分为：价格分=40*评标基准价÷有效报价。</w:t>
      </w:r>
    </w:p>
    <w:p>
      <w:pPr>
        <w:spacing w:line="24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质量：满分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spacing w:line="24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资质、装备及工艺技术水平、业绩状况：满分 10 分。资质 2 分；公司规模及人员构成 2 分；企业装备、加工能力、工艺流程及技术水平 3 分；相关业绩 3 分(类似业绩每项 1.5 分，最高 3分)。</w:t>
      </w:r>
    </w:p>
    <w:p>
      <w:pPr>
        <w:spacing w:line="24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服务、工期及资金状况：满分 10 分。制作工期 3 分；售后服务 2 分；资金状况 1 分；付款方式 4 分（完全响应我方要求的4分，其他方式，由评委根据具体情况商讨分数）。</w:t>
      </w:r>
    </w:p>
    <w:p>
      <w:pPr>
        <w:numPr>
          <w:ilvl w:val="0"/>
          <w:numId w:val="7"/>
        </w:numPr>
        <w:rPr>
          <w:b/>
          <w:sz w:val="24"/>
          <w:szCs w:val="24"/>
        </w:rPr>
      </w:pPr>
      <w:r>
        <w:rPr>
          <w:rFonts w:hint="eastAsia"/>
          <w:b/>
          <w:sz w:val="24"/>
          <w:szCs w:val="24"/>
        </w:rPr>
        <w:t>其他要求</w:t>
      </w:r>
    </w:p>
    <w:p>
      <w:pPr>
        <w:numPr>
          <w:ilvl w:val="0"/>
          <w:numId w:val="0"/>
        </w:numPr>
        <w:jc w:val="left"/>
        <w:rPr>
          <w:rFonts w:hint="eastAsia" w:eastAsia="宋体"/>
          <w:lang w:eastAsia="zh-CN"/>
        </w:rPr>
      </w:pPr>
      <w:r>
        <w:rPr>
          <w:rFonts w:hint="eastAsia"/>
          <w:bCs/>
          <w:sz w:val="28"/>
          <w:szCs w:val="28"/>
          <w:lang w:val="en-US" w:eastAsia="zh-CN"/>
        </w:rPr>
        <w:t>1、</w:t>
      </w: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特喷线改造项目</w:t>
      </w:r>
      <w:r>
        <w:rPr>
          <w:rFonts w:hint="eastAsia" w:ascii="宋体" w:hAnsi="宋体"/>
          <w:b/>
          <w:color w:val="FF0000"/>
          <w:sz w:val="28"/>
          <w:szCs w:val="28"/>
          <w:lang w:val="en-US" w:eastAsia="zh-CN"/>
        </w:rPr>
        <w:t>，</w:t>
      </w:r>
      <w:r>
        <w:rPr>
          <w:rFonts w:hint="eastAsia"/>
          <w:bCs/>
          <w:sz w:val="28"/>
          <w:szCs w:val="28"/>
        </w:rPr>
        <w:t>详见附件技术资料</w:t>
      </w:r>
      <w:r>
        <w:rPr>
          <w:rFonts w:hint="eastAsia"/>
          <w:bCs/>
          <w:sz w:val="28"/>
          <w:szCs w:val="28"/>
          <w:lang w:eastAsia="zh-CN"/>
        </w:rPr>
        <w:t>。</w:t>
      </w:r>
    </w:p>
    <w:tbl>
      <w:tblPr>
        <w:tblStyle w:val="10"/>
        <w:tblW w:w="893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56"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仿宋_GB2312" w:hAnsi="仿宋_GB2312" w:eastAsia="仿宋_GB2312" w:cs="仿宋_GB2312"/>
                <w:b/>
                <w:bCs/>
                <w:color w:val="FF0000"/>
                <w:sz w:val="28"/>
                <w:szCs w:val="28"/>
                <w:lang w:val="en-US" w:eastAsia="zh-CN"/>
              </w:rPr>
              <w:t>特喷线改造</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1套</w:t>
            </w:r>
          </w:p>
        </w:tc>
        <w:tc>
          <w:tcPr>
            <w:tcW w:w="1931" w:type="dxa"/>
            <w:tcBorders>
              <w:top w:val="single" w:color="auto" w:sz="4" w:space="0"/>
              <w:left w:val="single" w:color="auto" w:sz="4" w:space="0"/>
              <w:right w:val="single" w:color="auto" w:sz="4" w:space="0"/>
            </w:tcBorders>
            <w:vAlign w:val="bottom"/>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32"/>
                <w:szCs w:val="32"/>
                <w:lang w:val="en-US" w:eastAsia="zh-CN"/>
              </w:rPr>
              <w:t>B</w:t>
            </w:r>
          </w:p>
        </w:tc>
      </w:tr>
    </w:tbl>
    <w:p>
      <w:pPr>
        <w:numPr>
          <w:ilvl w:val="0"/>
          <w:numId w:val="0"/>
        </w:numPr>
        <w:jc w:val="left"/>
        <w:rPr>
          <w:rFonts w:hint="eastAsia" w:ascii="Times New Roman" w:hAnsi="Times New Roman" w:eastAsia="宋体" w:cs="Times New Roman"/>
          <w:bCs/>
          <w:sz w:val="28"/>
          <w:szCs w:val="28"/>
          <w:lang w:val="en-US" w:eastAsia="zh-CN"/>
        </w:rPr>
      </w:pPr>
      <w:r>
        <w:rPr>
          <w:rFonts w:hint="eastAsia"/>
          <w:bCs/>
          <w:sz w:val="28"/>
          <w:szCs w:val="28"/>
        </w:rPr>
        <w:t>满足</w:t>
      </w:r>
      <w:r>
        <w:rPr>
          <w:rFonts w:hint="eastAsia" w:ascii="Times New Roman" w:hAnsi="Times New Roman" w:eastAsia="宋体" w:cs="Times New Roman"/>
          <w:bCs/>
          <w:sz w:val="28"/>
          <w:szCs w:val="28"/>
          <w:lang w:val="en-US" w:eastAsia="zh-CN"/>
        </w:rPr>
        <w:t>《特喷线改造招标技术要求》中的要求；</w:t>
      </w:r>
    </w:p>
    <w:p>
      <w:pPr>
        <w:numPr>
          <w:ilvl w:val="0"/>
          <w:numId w:val="0"/>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2、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p>
    <w:p>
      <w:pPr>
        <w:numPr>
          <w:ilvl w:val="0"/>
          <w:numId w:val="0"/>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3、投标方资质应满足：设计资质：环保工程（大气污染防治工程）专项乙级及以上资质；施工资质：环保工程专业承包三级及以上资质或机电工程施工总承包三级及以上资质。（可接受联合体，具体要求见附件《特喷线改造招标技术要求》）</w:t>
      </w:r>
    </w:p>
    <w:p>
      <w:pPr>
        <w:numPr>
          <w:ilvl w:val="0"/>
          <w:numId w:val="0"/>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4、供货单位负责设备的安装、调试和人员培训工作。</w:t>
      </w:r>
    </w:p>
    <w:p>
      <w:pPr>
        <w:numPr>
          <w:ilvl w:val="0"/>
          <w:numId w:val="0"/>
        </w:numPr>
        <w:jc w:val="left"/>
      </w:pPr>
      <w:r>
        <w:rPr>
          <w:rFonts w:hint="eastAsia" w:ascii="Times New Roman" w:hAnsi="Times New Roman" w:eastAsia="宋体" w:cs="Times New Roman"/>
          <w:bCs/>
          <w:sz w:val="28"/>
          <w:szCs w:val="28"/>
          <w:lang w:val="en-US" w:eastAsia="zh-CN"/>
        </w:rPr>
        <w:t>5、投标厂家需勘察现场，同业主和技术人员交流方案并取得认可后方可参加投标</w:t>
      </w:r>
      <w:r>
        <w:rPr>
          <w:rFonts w:hint="eastAsia" w:ascii="Times New Roman" w:hAnsi="Times New Roman" w:eastAsia="宋体" w:cs="Times New Roman"/>
          <w:bCs/>
          <w:sz w:val="28"/>
          <w:szCs w:val="28"/>
          <w:lang w:val="zh-CN" w:eastAsia="zh-CN"/>
        </w:rPr>
        <w:t>。</w:t>
      </w:r>
    </w:p>
    <w:p>
      <w:pPr>
        <w:pStyle w:val="2"/>
      </w:pPr>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1月21日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委托单位：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特喷线改造项目</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A205F87"/>
    <w:rsid w:val="0A823C2F"/>
    <w:rsid w:val="0B6D4325"/>
    <w:rsid w:val="0B8301A2"/>
    <w:rsid w:val="0BFF25BD"/>
    <w:rsid w:val="0C945829"/>
    <w:rsid w:val="0C9D0D96"/>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02CDB"/>
    <w:rsid w:val="17F97F08"/>
    <w:rsid w:val="18062276"/>
    <w:rsid w:val="18B3618F"/>
    <w:rsid w:val="18C30666"/>
    <w:rsid w:val="18ED4DB4"/>
    <w:rsid w:val="197E4EAB"/>
    <w:rsid w:val="19B16948"/>
    <w:rsid w:val="1A317BC9"/>
    <w:rsid w:val="1A622AE9"/>
    <w:rsid w:val="1A7A42D7"/>
    <w:rsid w:val="1A8A6D05"/>
    <w:rsid w:val="1AD04FB1"/>
    <w:rsid w:val="1B3517B1"/>
    <w:rsid w:val="1B523267"/>
    <w:rsid w:val="1B773CDC"/>
    <w:rsid w:val="1B8B7683"/>
    <w:rsid w:val="1C3401BE"/>
    <w:rsid w:val="1C4D20AD"/>
    <w:rsid w:val="1CA053B7"/>
    <w:rsid w:val="1CCB1E53"/>
    <w:rsid w:val="1D2E11E1"/>
    <w:rsid w:val="1D6C7A82"/>
    <w:rsid w:val="1D987E37"/>
    <w:rsid w:val="1D9E4429"/>
    <w:rsid w:val="1DC4119D"/>
    <w:rsid w:val="1DDF4184"/>
    <w:rsid w:val="1E4E07CF"/>
    <w:rsid w:val="1E937D02"/>
    <w:rsid w:val="1EA55136"/>
    <w:rsid w:val="1EF12D6D"/>
    <w:rsid w:val="1F4242F7"/>
    <w:rsid w:val="1F493FD6"/>
    <w:rsid w:val="1F574444"/>
    <w:rsid w:val="1F666231"/>
    <w:rsid w:val="1F802445"/>
    <w:rsid w:val="1F9C7C18"/>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64344B"/>
    <w:rsid w:val="23D22DCD"/>
    <w:rsid w:val="23F37445"/>
    <w:rsid w:val="23FE1AD5"/>
    <w:rsid w:val="2407208A"/>
    <w:rsid w:val="246C42C3"/>
    <w:rsid w:val="24716C2D"/>
    <w:rsid w:val="24752FF2"/>
    <w:rsid w:val="24D563B1"/>
    <w:rsid w:val="24DC19A5"/>
    <w:rsid w:val="25225826"/>
    <w:rsid w:val="25656E3E"/>
    <w:rsid w:val="25B129B0"/>
    <w:rsid w:val="25C1100C"/>
    <w:rsid w:val="25D875A1"/>
    <w:rsid w:val="2636629B"/>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DD46C6"/>
    <w:rsid w:val="2BE15E8C"/>
    <w:rsid w:val="2BF40243"/>
    <w:rsid w:val="2C204052"/>
    <w:rsid w:val="2C2B5329"/>
    <w:rsid w:val="2C4D5F32"/>
    <w:rsid w:val="2C4E01C4"/>
    <w:rsid w:val="2CF31D5E"/>
    <w:rsid w:val="2D2A1456"/>
    <w:rsid w:val="2D3F22CA"/>
    <w:rsid w:val="2DBC55CF"/>
    <w:rsid w:val="2E2C15CB"/>
    <w:rsid w:val="2E3D1B0F"/>
    <w:rsid w:val="2EB064E5"/>
    <w:rsid w:val="2EB97BA5"/>
    <w:rsid w:val="2EF10C0A"/>
    <w:rsid w:val="2F1D4C84"/>
    <w:rsid w:val="2F5C3B54"/>
    <w:rsid w:val="2FAD763E"/>
    <w:rsid w:val="300541EB"/>
    <w:rsid w:val="30273B88"/>
    <w:rsid w:val="3036622A"/>
    <w:rsid w:val="30CA3841"/>
    <w:rsid w:val="31025A87"/>
    <w:rsid w:val="3130279D"/>
    <w:rsid w:val="320F084E"/>
    <w:rsid w:val="322C2414"/>
    <w:rsid w:val="32B01E99"/>
    <w:rsid w:val="32B83268"/>
    <w:rsid w:val="337C47C4"/>
    <w:rsid w:val="337E16FB"/>
    <w:rsid w:val="340F7396"/>
    <w:rsid w:val="35212328"/>
    <w:rsid w:val="353207C9"/>
    <w:rsid w:val="357D3802"/>
    <w:rsid w:val="35886381"/>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B441B2"/>
    <w:rsid w:val="3DB96542"/>
    <w:rsid w:val="3DCF2C6A"/>
    <w:rsid w:val="3DDE1672"/>
    <w:rsid w:val="3E371640"/>
    <w:rsid w:val="3EB93F1F"/>
    <w:rsid w:val="3EC330CE"/>
    <w:rsid w:val="3EF60D22"/>
    <w:rsid w:val="3F0B65A3"/>
    <w:rsid w:val="3F381FD4"/>
    <w:rsid w:val="3F4D61EF"/>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45918EF"/>
    <w:rsid w:val="4500284B"/>
    <w:rsid w:val="45273EF0"/>
    <w:rsid w:val="45407B03"/>
    <w:rsid w:val="45544CF4"/>
    <w:rsid w:val="45610AE1"/>
    <w:rsid w:val="45BF40EF"/>
    <w:rsid w:val="45C004AA"/>
    <w:rsid w:val="47557E03"/>
    <w:rsid w:val="47777116"/>
    <w:rsid w:val="47AD4330"/>
    <w:rsid w:val="47F71548"/>
    <w:rsid w:val="482A3819"/>
    <w:rsid w:val="483E5360"/>
    <w:rsid w:val="48DB7B25"/>
    <w:rsid w:val="48FD590D"/>
    <w:rsid w:val="49280B38"/>
    <w:rsid w:val="493B3AD2"/>
    <w:rsid w:val="494E52FD"/>
    <w:rsid w:val="49555670"/>
    <w:rsid w:val="498E20D3"/>
    <w:rsid w:val="49AF7A8B"/>
    <w:rsid w:val="49C70B56"/>
    <w:rsid w:val="49F03C52"/>
    <w:rsid w:val="49F60A04"/>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B46522"/>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CF36FF6"/>
    <w:rsid w:val="5D173705"/>
    <w:rsid w:val="5D1B4B8A"/>
    <w:rsid w:val="5D235C93"/>
    <w:rsid w:val="5D29641E"/>
    <w:rsid w:val="5DB22A0D"/>
    <w:rsid w:val="5DCF374A"/>
    <w:rsid w:val="5E611270"/>
    <w:rsid w:val="5EB10C27"/>
    <w:rsid w:val="5EB2026E"/>
    <w:rsid w:val="5F0B632E"/>
    <w:rsid w:val="5F275132"/>
    <w:rsid w:val="5F3724D8"/>
    <w:rsid w:val="5F520A02"/>
    <w:rsid w:val="5F8D5A94"/>
    <w:rsid w:val="6043298E"/>
    <w:rsid w:val="60687527"/>
    <w:rsid w:val="61033D16"/>
    <w:rsid w:val="625B24D7"/>
    <w:rsid w:val="62653C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9992CD3"/>
    <w:rsid w:val="6AE713EB"/>
    <w:rsid w:val="6B912AE5"/>
    <w:rsid w:val="6BB603AF"/>
    <w:rsid w:val="6BDE4C50"/>
    <w:rsid w:val="6BF2040D"/>
    <w:rsid w:val="6C332FD3"/>
    <w:rsid w:val="6C500D05"/>
    <w:rsid w:val="6C7B13C4"/>
    <w:rsid w:val="6CA73029"/>
    <w:rsid w:val="6CA824D7"/>
    <w:rsid w:val="6CB6289B"/>
    <w:rsid w:val="6CEE6E5F"/>
    <w:rsid w:val="6D7F552C"/>
    <w:rsid w:val="6D8C6A01"/>
    <w:rsid w:val="6E4F66B0"/>
    <w:rsid w:val="6E93756A"/>
    <w:rsid w:val="6ED71557"/>
    <w:rsid w:val="6F1F6C63"/>
    <w:rsid w:val="6F654899"/>
    <w:rsid w:val="6FAC3760"/>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2C6DDA"/>
    <w:rsid w:val="729A24C9"/>
    <w:rsid w:val="72E83DB5"/>
    <w:rsid w:val="72F51267"/>
    <w:rsid w:val="732D2693"/>
    <w:rsid w:val="7357254E"/>
    <w:rsid w:val="73611393"/>
    <w:rsid w:val="73A35A4E"/>
    <w:rsid w:val="74434BCD"/>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0B1874"/>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10</TotalTime>
  <ScaleCrop>false</ScaleCrop>
  <LinksUpToDate>false</LinksUpToDate>
  <CharactersWithSpaces>5419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2022-01-06T09:33:00Z</cp:lastPrinted>
  <dcterms:modified xsi:type="dcterms:W3CDTF">2022-01-21T07:22:48Z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D3894DA2359E4D86A6EC87FD46198235</vt:lpwstr>
  </property>
</Properties>
</file>