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液压站节能改造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 月17日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202007YYJNGZ</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液压站节能改造</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张</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18155369100</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val="en-US" w:eastAsia="zh-CN"/>
        </w:rPr>
        <w:t>轧钢部：       王  工   13866658015</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7</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3月11</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7</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1、付款方式：</w:t>
      </w:r>
      <w:r>
        <w:rPr>
          <w:rFonts w:hint="eastAsia" w:ascii="宋体" w:hAnsi="宋体"/>
          <w:sz w:val="24"/>
          <w:szCs w:val="24"/>
          <w:lang w:val="en-US" w:eastAsia="zh-CN"/>
        </w:rPr>
        <w:t>安装调试完毕且验收合格后付60%，正常使用3个月后付30%，5%质保一年无异议后付清，5%质保18个月无异议后付清。付款方式不接受偏离</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4、建议交货期：2个月。</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液压站节能改造，如下：</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57"/>
        <w:gridCol w:w="2250"/>
        <w:gridCol w:w="1650"/>
        <w:gridCol w:w="11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457"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25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数量</w:t>
            </w:r>
          </w:p>
        </w:tc>
        <w:tc>
          <w:tcPr>
            <w:tcW w:w="165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18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44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仿宋_GB2312" w:hAnsi="仿宋_GB2312" w:eastAsia="仿宋_GB2312" w:cs="仿宋_GB2312"/>
                <w:b/>
                <w:bCs/>
                <w:color w:val="FF0000"/>
                <w:sz w:val="28"/>
                <w:szCs w:val="28"/>
                <w:lang w:val="en-US" w:eastAsia="zh-CN"/>
              </w:rPr>
              <w:t>液压站节能改造</w:t>
            </w:r>
          </w:p>
        </w:tc>
        <w:tc>
          <w:tcPr>
            <w:tcW w:w="22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18套</w:t>
            </w:r>
          </w:p>
        </w:tc>
        <w:tc>
          <w:tcPr>
            <w:tcW w:w="16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bookmarkStart w:id="0" w:name="_GoBack"/>
            <w:bookmarkEnd w:id="0"/>
            <w:r>
              <w:rPr>
                <w:rFonts w:hint="eastAsia" w:ascii="仿宋_GB2312" w:hAnsi="仿宋_GB2312" w:eastAsia="仿宋_GB2312" w:cs="仿宋_GB2312"/>
                <w:b/>
                <w:bCs/>
                <w:color w:val="FF0000"/>
                <w:sz w:val="28"/>
                <w:szCs w:val="28"/>
                <w:lang w:val="en-US" w:eastAsia="zh-CN"/>
              </w:rPr>
              <w:t>B</w:t>
            </w:r>
          </w:p>
        </w:tc>
        <w:tc>
          <w:tcPr>
            <w:tcW w:w="11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bCs/>
          <w:sz w:val="28"/>
          <w:szCs w:val="28"/>
          <w:lang w:val="en-US" w:eastAsia="zh-CN"/>
        </w:rPr>
      </w:pPr>
      <w:r>
        <w:rPr>
          <w:rFonts w:hint="eastAsia"/>
          <w:bCs/>
          <w:sz w:val="28"/>
          <w:szCs w:val="28"/>
          <w:lang w:val="en-US" w:eastAsia="zh-CN"/>
        </w:rPr>
        <w:t>技术参数详见附件</w:t>
      </w:r>
      <w:r>
        <w:rPr>
          <w:rFonts w:hint="eastAsia"/>
          <w:bCs/>
          <w:sz w:val="28"/>
          <w:szCs w:val="28"/>
          <w:lang w:eastAsia="zh-CN"/>
        </w:rPr>
        <w:t>。</w:t>
      </w:r>
    </w:p>
    <w:p>
      <w:pPr>
        <w:numPr>
          <w:ilvl w:val="0"/>
          <w:numId w:val="8"/>
        </w:numPr>
        <w:jc w:val="left"/>
        <w:rPr>
          <w:rFonts w:hint="eastAsia"/>
          <w:bCs/>
          <w:sz w:val="28"/>
          <w:szCs w:val="28"/>
          <w:lang w:val="en-US" w:eastAsia="zh-CN"/>
        </w:rPr>
      </w:pPr>
      <w:r>
        <w:rPr>
          <w:rFonts w:hint="eastAsia"/>
          <w:bCs/>
          <w:sz w:val="28"/>
          <w:szCs w:val="28"/>
          <w:lang w:val="en-US" w:eastAsia="zh-CN"/>
        </w:rPr>
        <w:t>供货单位负责设备的指导安装、调试和人员培训工作。</w:t>
      </w:r>
    </w:p>
    <w:p>
      <w:pPr>
        <w:numPr>
          <w:ilvl w:val="0"/>
          <w:numId w:val="8"/>
        </w:numPr>
        <w:jc w:val="left"/>
        <w:rPr>
          <w:rFonts w:hint="eastAsia"/>
          <w:bCs/>
          <w:sz w:val="28"/>
          <w:szCs w:val="28"/>
          <w:lang w:val="en-US" w:eastAsia="zh-CN"/>
        </w:rPr>
      </w:pPr>
      <w:r>
        <w:rPr>
          <w:rFonts w:hint="eastAsia"/>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eastAsia="zh-CN"/>
        </w:rPr>
        <w:t>。</w:t>
      </w:r>
    </w:p>
    <w:p/>
    <w:p>
      <w:pPr>
        <w:pStyle w:val="2"/>
      </w:pPr>
    </w:p>
    <w:p>
      <w:pPr>
        <w:pStyle w:val="2"/>
      </w:pPr>
    </w:p>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2月17日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液压站节能改造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31</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2022-02-17T06:22:15Z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