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黑体"/>
          <w:kern w:val="2"/>
          <w:sz w:val="44"/>
          <w:szCs w:val="44"/>
          <w:lang w:val="en-US" w:eastAsia="zh-CN" w:bidi="ar-SA"/>
        </w:rPr>
      </w:pPr>
      <w:r>
        <w:rPr>
          <w:rFonts w:hint="eastAsia"/>
          <w:sz w:val="44"/>
          <w:szCs w:val="44"/>
          <w:lang w:eastAsia="zh-CN"/>
        </w:rPr>
        <w:t>购置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16吨及以上</w:t>
      </w:r>
      <w:r>
        <w:rPr>
          <w:rFonts w:hint="eastAsia"/>
          <w:sz w:val="44"/>
          <w:szCs w:val="44"/>
          <w:lang w:val="en-US" w:eastAsia="zh-CN"/>
        </w:rPr>
        <w:t>汽车起重机</w:t>
      </w:r>
      <w:r>
        <w:rPr>
          <w:rFonts w:hint="eastAsia"/>
          <w:sz w:val="44"/>
          <w:szCs w:val="44"/>
          <w:lang w:eastAsia="zh-CN"/>
        </w:rPr>
        <w:t>技术参考参数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主要技术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参数：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1：发动机达到国家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最新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规定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国六环保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排放标准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2：车辆轴荷具备三轴。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3：发动机功率/转速不小于199/2300KW(r/min）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4：起重臂不小于32米，起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升高度不低于32.5米。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00"/>
          <w:sz w:val="28"/>
          <w:szCs w:val="28"/>
          <w:highlight w:val="lightGray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：配备智能控制系统，下车液压支腿或电控操作系统，上车手柄式电控操纵装置。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6：配置力矩限制器，三圈保护器，高度限位器，夜视水平仪，ABS制动防抱死装置。上车操纵室配置卷扬监视器，大臂夜光红外影像（摄像头）配置风速报警器，上车警报扩音器。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7：HMI界面配置可监测控制器端口数据。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平头驾驶室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驾驶室设置倒车影像及倒车雷达装置，驾驶室电动俯仰装置，上下车驾驶室座椅配有气压减震，可前后滑动，可变换角度。整车配置（上车，下车）原厂冷暖空调。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9：配置快速换倍率吊钩，不拆除契套，可直接更换倍率，减少换倍率步骤。配备自锁固定登高栏（臂头）、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配备自锁吊栓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所购车型公告、合格证、三包服务卡、使用说明书、其他文件或附件、核对铭牌等符合出厂规定标准要求。中标单位需无偿为业主提供车辆维保专业性人员技能培训。</w:t>
      </w:r>
    </w:p>
    <w:p>
      <w:pPr>
        <w:tabs>
          <w:tab w:val="left" w:pos="7333"/>
        </w:tabs>
        <w:jc w:val="righ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D1B01D1"/>
    <w:rsid w:val="47597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2020-10-31T19:11:00Z</dcterms:created>
  <dc:creator>Administrator</dc:creator>
  <cp:lastModifiedBy>Administrator</cp:lastModifiedBy>
  <dcterms:modified xsi:type="dcterms:W3CDTF">2022-03-03T08:49:00Z</dcterms:modified>
  <dc:title>猫9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552D758A70DB44F4B2AFCCF5D29F0C7D</vt:lpwstr>
  </property>
</Properties>
</file>