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风箱系统耐磨改造技术要求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spacing w:line="360" w:lineRule="auto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本次招标采购的风箱系统耐磨改造项目，运用于烧结二期烧结机风箱抽风系统部位，主要包括部件有天方地圆36套、弯头26套、竖管36套，法兰共计160个。</w:t>
      </w:r>
    </w:p>
    <w:p>
      <w:pPr>
        <w:spacing w:line="360" w:lineRule="auto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现场工艺条件：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1、介质：夹杂粒级0~10mm左右铁矿粉、烧结矿颗粒的烟气（氮氧化物、硫化物）等。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2、温度：100-400</w:t>
      </w:r>
      <w:r>
        <w:rPr>
          <w:rFonts w:hint="eastAsia" w:ascii="宋体" w:hAnsi="宋体" w:eastAsia="宋体" w:cs="宋体"/>
          <w:sz w:val="28"/>
          <w:szCs w:val="28"/>
        </w:rPr>
        <w:t>℃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3、风速：25米/秒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4、负压：17.5Kpa</w:t>
      </w:r>
    </w:p>
    <w:p>
      <w:pPr>
        <w:spacing w:line="360" w:lineRule="auto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具体要求如下：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各部件采用法兰连接，螺栓紧固方式；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各部件详细尺寸由中标方现场核实，出具图纸，双方确认；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相同部件统一设计，相同部件确保具有互换性；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弯头、天方地圆、竖管内所有面都有耐磨内衬，且内衬材料要求保证整体性，不允许有缝隙；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弯头、天方地圆、竖管除内衬外，基材的厚度不得小于12mm；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弯头、竖管有效利用内径不得小于800mm；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要求使用寿命为三年，三年内不得出现磨损通洞现象；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三年内如有磨损通洞现象，厂家负责无偿更换；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部件制作完成后进行无损检测，并提供检测报告；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参标单位需提供至少三份烧结风箱弯头等业绩合同</w:t>
      </w:r>
      <w:bookmarkEnd w:id="0"/>
      <w:r>
        <w:rPr>
          <w:rFonts w:hint="eastAsia"/>
          <w:sz w:val="28"/>
          <w:szCs w:val="28"/>
        </w:rPr>
        <w:t>。</w:t>
      </w:r>
    </w:p>
    <w:sectPr>
      <w:pgSz w:w="11906" w:h="16838"/>
      <w:pgMar w:top="1134" w:right="1332" w:bottom="1134" w:left="133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0A31E9"/>
    <w:multiLevelType w:val="singleLevel"/>
    <w:tmpl w:val="A70A31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709"/>
    <w:rsid w:val="001540E4"/>
    <w:rsid w:val="0056726F"/>
    <w:rsid w:val="00580BCA"/>
    <w:rsid w:val="007C5709"/>
    <w:rsid w:val="007F78E9"/>
    <w:rsid w:val="009E725C"/>
    <w:rsid w:val="01713710"/>
    <w:rsid w:val="03A53A1F"/>
    <w:rsid w:val="06F81914"/>
    <w:rsid w:val="08305E5E"/>
    <w:rsid w:val="0D1350C7"/>
    <w:rsid w:val="15DA148E"/>
    <w:rsid w:val="18CB25F9"/>
    <w:rsid w:val="1A6F08EC"/>
    <w:rsid w:val="1D0B2BB8"/>
    <w:rsid w:val="215B7329"/>
    <w:rsid w:val="24415304"/>
    <w:rsid w:val="26F252D6"/>
    <w:rsid w:val="288818A0"/>
    <w:rsid w:val="28F56ACE"/>
    <w:rsid w:val="2F5E3926"/>
    <w:rsid w:val="2FC808FF"/>
    <w:rsid w:val="37947A20"/>
    <w:rsid w:val="395D13CA"/>
    <w:rsid w:val="3ADB2C0F"/>
    <w:rsid w:val="3B551B7E"/>
    <w:rsid w:val="3CBD3E73"/>
    <w:rsid w:val="40D15B5A"/>
    <w:rsid w:val="412676A7"/>
    <w:rsid w:val="436F6BDF"/>
    <w:rsid w:val="4DBD2ACA"/>
    <w:rsid w:val="50936AA3"/>
    <w:rsid w:val="51B23B7E"/>
    <w:rsid w:val="5496394D"/>
    <w:rsid w:val="5F5236D8"/>
    <w:rsid w:val="6250444E"/>
    <w:rsid w:val="639C6C66"/>
    <w:rsid w:val="64A3242D"/>
    <w:rsid w:val="64C00E70"/>
    <w:rsid w:val="6C0C6CE4"/>
    <w:rsid w:val="78047EB1"/>
    <w:rsid w:val="7F663D79"/>
    <w:rsid w:val="7F85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</Words>
  <Characters>374</Characters>
  <Lines>3</Lines>
  <Paragraphs>1</Paragraphs>
  <TotalTime>119</TotalTime>
  <ScaleCrop>false</ScaleCrop>
  <LinksUpToDate>false</LinksUpToDate>
  <CharactersWithSpaces>438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2022-02-18T07:23:00Z</dcterms:created>
  <dc:creator>xiashaohua</dc:creator>
  <cp:lastModifiedBy>陈凯</cp:lastModifiedBy>
  <cp:lastPrinted>2022-02-28T01:43:00Z</cp:lastPrinted>
  <dcterms:modified xsi:type="dcterms:W3CDTF">2022-03-04T02:44:34Z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5A5236F9FC5A4DA9AB3A8A63435F7834</vt:lpwstr>
  </property>
</Properties>
</file>