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cs="宋体"/>
          <w:b/>
          <w:bCs/>
          <w:sz w:val="48"/>
          <w:szCs w:val="48"/>
        </w:rPr>
      </w:pPr>
    </w:p>
    <w:p>
      <w:pPr>
        <w:spacing w:after="0" w:line="360" w:lineRule="auto"/>
        <w:jc w:val="center"/>
        <w:rPr>
          <w:rFonts w:ascii="宋体" w:hAnsi="宋体" w:eastAsia="宋体" w:cs="宋体"/>
          <w:b/>
          <w:bCs/>
          <w:sz w:val="48"/>
          <w:szCs w:val="48"/>
        </w:rPr>
      </w:pPr>
      <w:r>
        <w:rPr>
          <w:rFonts w:hint="eastAsia" w:ascii="宋体" w:hAnsi="宋体" w:eastAsia="宋体" w:cs="宋体"/>
          <w:b/>
          <w:bCs/>
          <w:sz w:val="48"/>
          <w:szCs w:val="48"/>
        </w:rPr>
        <w:t>芜湖新兴</w:t>
      </w:r>
      <w:r>
        <w:rPr>
          <w:rFonts w:hint="eastAsia" w:ascii="宋体" w:hAnsi="宋体" w:eastAsia="宋体" w:cs="宋体"/>
          <w:b/>
          <w:bCs/>
          <w:sz w:val="48"/>
          <w:szCs w:val="48"/>
          <w:lang w:eastAsia="zh-CN"/>
        </w:rPr>
        <w:t>铸管</w:t>
      </w:r>
      <w:r>
        <w:rPr>
          <w:rFonts w:hint="eastAsia" w:ascii="宋体" w:hAnsi="宋体" w:eastAsia="宋体" w:cs="宋体"/>
          <w:b/>
          <w:bCs/>
          <w:sz w:val="48"/>
          <w:szCs w:val="48"/>
        </w:rPr>
        <w:t>有限</w:t>
      </w:r>
      <w:r>
        <w:rPr>
          <w:rFonts w:hint="eastAsia" w:ascii="宋体" w:hAnsi="宋体" w:eastAsia="宋体" w:cs="宋体"/>
          <w:b/>
          <w:bCs/>
          <w:sz w:val="48"/>
          <w:szCs w:val="48"/>
          <w:lang w:eastAsia="zh-CN"/>
        </w:rPr>
        <w:t>责任</w:t>
      </w:r>
      <w:r>
        <w:rPr>
          <w:rFonts w:hint="eastAsia" w:ascii="宋体" w:hAnsi="宋体" w:eastAsia="宋体" w:cs="宋体"/>
          <w:b/>
          <w:bCs/>
          <w:sz w:val="48"/>
          <w:szCs w:val="48"/>
        </w:rPr>
        <w:t>公司</w:t>
      </w:r>
    </w:p>
    <w:p>
      <w:pPr>
        <w:spacing w:after="0" w:line="360" w:lineRule="auto"/>
        <w:jc w:val="both"/>
        <w:rPr>
          <w:rFonts w:ascii="宋体" w:hAnsi="宋体" w:eastAsia="宋体" w:cs="宋体"/>
          <w:b/>
          <w:bCs/>
          <w:sz w:val="52"/>
          <w:szCs w:val="52"/>
        </w:rPr>
      </w:pPr>
    </w:p>
    <w:p>
      <w:pPr>
        <w:spacing w:after="0" w:line="360" w:lineRule="auto"/>
        <w:jc w:val="center"/>
        <w:rPr>
          <w:rFonts w:ascii="宋体" w:hAnsi="宋体" w:eastAsia="宋体" w:cs="宋体"/>
          <w:b/>
          <w:bCs/>
          <w:sz w:val="48"/>
          <w:szCs w:val="48"/>
        </w:rPr>
      </w:pPr>
      <w:r>
        <w:rPr>
          <w:rFonts w:hint="eastAsia" w:ascii="宋体" w:hAnsi="宋体" w:eastAsia="宋体"/>
          <w:b/>
          <w:sz w:val="48"/>
          <w:szCs w:val="48"/>
          <w:lang w:eastAsia="zh-CN"/>
        </w:rPr>
        <w:t>焦炉上升管余热回收项目</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技</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术</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规</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格</w:t>
      </w:r>
    </w:p>
    <w:p>
      <w:pPr>
        <w:spacing w:after="0"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书</w:t>
      </w:r>
    </w:p>
    <w:p>
      <w:pPr>
        <w:spacing w:after="0" w:line="360" w:lineRule="auto"/>
        <w:jc w:val="center"/>
        <w:rPr>
          <w:rFonts w:hint="eastAsia" w:ascii="宋体" w:hAnsi="宋体" w:eastAsia="宋体" w:cs="宋体"/>
          <w:b/>
          <w:bCs/>
          <w:sz w:val="52"/>
          <w:szCs w:val="52"/>
        </w:rPr>
      </w:pPr>
    </w:p>
    <w:p>
      <w:pPr>
        <w:spacing w:after="0" w:line="360" w:lineRule="auto"/>
        <w:rPr>
          <w:rFonts w:ascii="宋体" w:hAnsi="宋体" w:eastAsia="宋体" w:cs="宋体"/>
          <w:b/>
          <w:bCs/>
          <w:sz w:val="52"/>
          <w:szCs w:val="52"/>
        </w:rPr>
      </w:pPr>
    </w:p>
    <w:p>
      <w:pPr>
        <w:spacing w:after="0" w:line="360" w:lineRule="auto"/>
        <w:ind w:left="-220" w:leftChars="-100"/>
        <w:jc w:val="center"/>
        <w:rPr>
          <w:rFonts w:ascii="宋体" w:hAnsi="宋体" w:eastAsia="宋体" w:cs="宋体"/>
          <w:b/>
          <w:bCs/>
          <w:sz w:val="32"/>
          <w:szCs w:val="32"/>
        </w:rPr>
      </w:pPr>
      <w:r>
        <w:rPr>
          <w:rFonts w:hint="eastAsia" w:ascii="宋体" w:hAnsi="宋体" w:eastAsia="宋体" w:cs="宋体"/>
          <w:b/>
          <w:bCs/>
          <w:sz w:val="32"/>
          <w:szCs w:val="32"/>
        </w:rPr>
        <w:t>编制：     审核：     会签：     项目负责：     批准</w:t>
      </w:r>
      <w:bookmarkStart w:id="0" w:name="OLE_LINK2"/>
      <w:bookmarkEnd w:id="0"/>
      <w:bookmarkStart w:id="1" w:name="OLE_LINK3"/>
      <w:bookmarkEnd w:id="1"/>
      <w:bookmarkStart w:id="2" w:name="OLE_LINK1"/>
      <w:bookmarkEnd w:id="2"/>
      <w:r>
        <w:rPr>
          <w:rFonts w:hint="eastAsia" w:ascii="宋体" w:hAnsi="宋体" w:eastAsia="宋体" w:cs="宋体"/>
          <w:b/>
          <w:bCs/>
          <w:sz w:val="32"/>
          <w:szCs w:val="32"/>
        </w:rPr>
        <w:t>:</w:t>
      </w:r>
    </w:p>
    <w:p>
      <w:pPr>
        <w:spacing w:after="0" w:line="360" w:lineRule="auto"/>
        <w:ind w:left="-220" w:leftChars="-100"/>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p>
    <w:p>
      <w:pPr>
        <w:tabs>
          <w:tab w:val="left" w:pos="2992"/>
          <w:tab w:val="center" w:pos="4214"/>
        </w:tabs>
        <w:spacing w:after="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安徽·芜湖</w:t>
      </w:r>
    </w:p>
    <w:p>
      <w:pPr>
        <w:tabs>
          <w:tab w:val="left" w:pos="2992"/>
          <w:tab w:val="center" w:pos="4214"/>
        </w:tabs>
        <w:spacing w:after="0" w:line="360" w:lineRule="auto"/>
        <w:jc w:val="center"/>
        <w:rPr>
          <w:rFonts w:hint="eastAsia" w:ascii="宋体" w:hAnsi="宋体" w:eastAsia="宋体" w:cs="宋体"/>
          <w:b/>
          <w:bCs/>
          <w:sz w:val="28"/>
          <w:szCs w:val="28"/>
        </w:rPr>
      </w:pPr>
    </w:p>
    <w:p>
      <w:pPr>
        <w:spacing w:after="0" w:line="360" w:lineRule="auto"/>
        <w:rPr>
          <w:rFonts w:ascii="宋体" w:hAnsi="宋体" w:eastAsia="宋体"/>
          <w:sz w:val="24"/>
          <w:szCs w:val="24"/>
        </w:rPr>
      </w:pPr>
    </w:p>
    <w:p>
      <w:pPr>
        <w:spacing w:after="0" w:line="360" w:lineRule="auto"/>
        <w:rPr>
          <w:rFonts w:ascii="宋体" w:hAnsi="宋体" w:eastAsia="宋体"/>
          <w:b/>
          <w:spacing w:val="10"/>
          <w:sz w:val="24"/>
          <w:szCs w:val="24"/>
        </w:rPr>
      </w:pPr>
      <w:r>
        <w:rPr>
          <w:rFonts w:hint="eastAsia" w:ascii="宋体" w:hAnsi="宋体" w:eastAsia="宋体"/>
          <w:b/>
          <w:bCs/>
          <w:sz w:val="24"/>
          <w:szCs w:val="24"/>
        </w:rPr>
        <w:t>一、总则</w:t>
      </w:r>
    </w:p>
    <w:p>
      <w:pPr>
        <w:pStyle w:val="15"/>
        <w:tabs>
          <w:tab w:val="left" w:pos="0"/>
        </w:tabs>
        <w:spacing w:before="0" w:line="360" w:lineRule="auto"/>
        <w:rPr>
          <w:rFonts w:ascii="宋体" w:hAnsi="宋体" w:cs="宋体"/>
          <w:color w:val="auto"/>
          <w:kern w:val="2"/>
        </w:rPr>
      </w:pPr>
      <w:r>
        <w:rPr>
          <w:rFonts w:hint="eastAsia" w:ascii="宋体" w:hAnsi="宋体" w:cs="宋体"/>
          <w:color w:val="auto"/>
          <w:kern w:val="2"/>
        </w:rPr>
        <w:t>1.1本技术文件适用于芜湖新兴</w:t>
      </w:r>
      <w:r>
        <w:rPr>
          <w:rFonts w:hint="eastAsia" w:ascii="宋体" w:hAnsi="宋体" w:cs="宋体"/>
          <w:color w:val="auto"/>
          <w:kern w:val="2"/>
          <w:lang w:eastAsia="zh-CN"/>
        </w:rPr>
        <w:t>铸管有限责任公司铁前事业部</w:t>
      </w:r>
      <w:r>
        <w:rPr>
          <w:rFonts w:hint="eastAsia" w:ascii="宋体" w:hAnsi="宋体" w:cs="宋体"/>
          <w:color w:val="auto"/>
          <w:kern w:val="2"/>
          <w:lang w:val="en-US" w:eastAsia="zh-CN"/>
        </w:rPr>
        <w:t>120万吨/年</w:t>
      </w:r>
      <w:r>
        <w:rPr>
          <w:rFonts w:hint="eastAsia" w:ascii="宋体" w:hAnsi="宋体" w:cs="宋体"/>
          <w:color w:val="auto"/>
          <w:kern w:val="2"/>
          <w:lang w:eastAsia="zh-CN"/>
        </w:rPr>
        <w:t>焦炉上升管余热回收</w:t>
      </w:r>
      <w:r>
        <w:rPr>
          <w:rFonts w:hint="eastAsia" w:ascii="宋体" w:hAnsi="宋体" w:cs="宋体"/>
          <w:color w:val="auto"/>
          <w:kern w:val="2"/>
        </w:rPr>
        <w:t>项目。</w:t>
      </w:r>
    </w:p>
    <w:p>
      <w:pPr>
        <w:pStyle w:val="15"/>
        <w:tabs>
          <w:tab w:val="left" w:pos="0"/>
        </w:tabs>
        <w:spacing w:before="0" w:line="360" w:lineRule="auto"/>
        <w:rPr>
          <w:rFonts w:ascii="宋体" w:hAnsi="宋体" w:cs="宋体"/>
          <w:kern w:val="2"/>
        </w:rPr>
      </w:pPr>
      <w:r>
        <w:rPr>
          <w:rFonts w:hint="eastAsia" w:ascii="宋体" w:hAnsi="宋体" w:cs="宋体"/>
          <w:color w:val="auto"/>
          <w:kern w:val="2"/>
        </w:rPr>
        <w:t>1.2本技术文件提出了芜湖新兴</w:t>
      </w:r>
      <w:r>
        <w:rPr>
          <w:rFonts w:hint="eastAsia" w:ascii="宋体" w:hAnsi="宋体" w:cs="宋体"/>
          <w:color w:val="auto"/>
          <w:kern w:val="2"/>
          <w:lang w:eastAsia="zh-CN"/>
        </w:rPr>
        <w:t>铸管有限责任公司铁前事业部焦炉上升管余热回收</w:t>
      </w:r>
      <w:r>
        <w:rPr>
          <w:rFonts w:hint="eastAsia" w:ascii="宋体" w:hAnsi="宋体" w:cs="宋体"/>
          <w:color w:val="auto"/>
          <w:kern w:val="2"/>
        </w:rPr>
        <w:t>项目</w:t>
      </w:r>
      <w:r>
        <w:rPr>
          <w:rFonts w:hint="eastAsia" w:ascii="宋体" w:hAnsi="宋体" w:cs="宋体"/>
          <w:kern w:val="2"/>
        </w:rPr>
        <w:t>的相关技术要求。</w:t>
      </w:r>
      <w:r>
        <w:rPr>
          <w:rFonts w:hint="eastAsia" w:ascii="宋体" w:hAnsi="宋体" w:cs="宋体"/>
          <w:kern w:val="2"/>
          <w:lang w:eastAsia="zh-CN"/>
        </w:rPr>
        <w:t>该项目的</w:t>
      </w:r>
      <w:r>
        <w:rPr>
          <w:rFonts w:hint="eastAsia" w:ascii="宋体" w:hAnsi="宋体" w:eastAsia="宋体" w:cs="宋体"/>
          <w:color w:val="000000"/>
          <w:sz w:val="24"/>
          <w:szCs w:val="24"/>
          <w:lang w:eastAsia="zh-CN"/>
        </w:rPr>
        <w:t>工艺布置、改造设计、</w:t>
      </w:r>
      <w:r>
        <w:rPr>
          <w:rFonts w:hint="eastAsia" w:ascii="宋体" w:hAnsi="宋体" w:cs="宋体"/>
          <w:color w:val="000000"/>
          <w:sz w:val="24"/>
          <w:szCs w:val="24"/>
          <w:lang w:val="en-US" w:eastAsia="zh-CN"/>
        </w:rPr>
        <w:t>土建施工、</w:t>
      </w:r>
      <w:r>
        <w:rPr>
          <w:rFonts w:hint="eastAsia" w:ascii="宋体" w:hAnsi="宋体" w:eastAsia="宋体" w:cs="宋体"/>
          <w:color w:val="000000"/>
          <w:sz w:val="24"/>
          <w:szCs w:val="24"/>
        </w:rPr>
        <w:t>设备的供货、安装和调试</w:t>
      </w:r>
      <w:r>
        <w:rPr>
          <w:rFonts w:hint="eastAsia" w:ascii="宋体" w:hAnsi="宋体" w:cs="宋体"/>
          <w:kern w:val="2"/>
        </w:rPr>
        <w:t>等工作均由投标方完成。</w:t>
      </w:r>
    </w:p>
    <w:p>
      <w:pPr>
        <w:pStyle w:val="15"/>
        <w:tabs>
          <w:tab w:val="left" w:pos="0"/>
        </w:tabs>
        <w:spacing w:before="0" w:line="360" w:lineRule="auto"/>
        <w:jc w:val="left"/>
        <w:rPr>
          <w:rFonts w:ascii="宋体" w:hAnsi="宋体" w:cs="宋体"/>
          <w:kern w:val="2"/>
        </w:rPr>
      </w:pPr>
      <w:r>
        <w:rPr>
          <w:rFonts w:hint="eastAsia" w:ascii="宋体" w:hAnsi="宋体" w:cs="宋体"/>
          <w:kern w:val="2"/>
        </w:rPr>
        <w:t>1.3本技术文提出的是最低限度的技术要求，并未对一切技术细节作出规定，也未充分引述有关标准和规范的条文，投标方应提供符合本技术文件和有关工业标准的优质产品。对国家有关安全、环保等强制性标准，必须满足其要求。</w:t>
      </w:r>
    </w:p>
    <w:p>
      <w:pPr>
        <w:pStyle w:val="15"/>
        <w:tabs>
          <w:tab w:val="left" w:pos="0"/>
        </w:tabs>
        <w:spacing w:before="0" w:line="360" w:lineRule="auto"/>
        <w:jc w:val="left"/>
        <w:rPr>
          <w:rFonts w:ascii="宋体" w:hAnsi="宋体" w:cs="宋体"/>
          <w:kern w:val="2"/>
        </w:rPr>
      </w:pPr>
      <w:r>
        <w:rPr>
          <w:rFonts w:hint="eastAsia" w:ascii="宋体" w:hAnsi="宋体" w:cs="宋体"/>
          <w:kern w:val="2"/>
        </w:rPr>
        <w:t>1.4如果投标方没有以书面形式对本技术文件的条文提出异议，则意味着投标方提供的设备完全符合本技术文件的要求。如有异议，应在投标书中以“对技术文件的意见和同技术文件的差异”为标题的专门章节中加以详细描述。</w:t>
      </w:r>
    </w:p>
    <w:p>
      <w:pPr>
        <w:pStyle w:val="15"/>
        <w:tabs>
          <w:tab w:val="left" w:pos="0"/>
        </w:tabs>
        <w:spacing w:before="0" w:line="360" w:lineRule="auto"/>
        <w:jc w:val="left"/>
        <w:rPr>
          <w:rFonts w:ascii="宋体" w:hAnsi="宋体" w:cs="宋体"/>
          <w:kern w:val="2"/>
        </w:rPr>
      </w:pPr>
      <w:r>
        <w:rPr>
          <w:rFonts w:hint="eastAsia" w:ascii="宋体" w:hAnsi="宋体" w:cs="宋体"/>
          <w:kern w:val="2"/>
        </w:rPr>
        <w:t>1.5本技术文件所使用的标准，如与投标方所执行的标准不一致时，按较高的标准执行。如果本技术文件与现行使用的有关国家标准以及颁布标准有明显抵触的条文，投标方应及时书面通知招标方进行解决。</w:t>
      </w:r>
    </w:p>
    <w:p>
      <w:pPr>
        <w:pStyle w:val="15"/>
        <w:tabs>
          <w:tab w:val="left" w:pos="0"/>
        </w:tabs>
        <w:spacing w:before="0" w:line="360" w:lineRule="auto"/>
        <w:rPr>
          <w:rFonts w:ascii="宋体" w:hAnsi="宋体" w:cs="宋体"/>
          <w:kern w:val="2"/>
        </w:rPr>
      </w:pPr>
      <w:bookmarkStart w:id="3" w:name="_Toc535052067"/>
      <w:r>
        <w:rPr>
          <w:rFonts w:hint="eastAsia" w:ascii="宋体" w:hAnsi="宋体" w:cs="宋体"/>
          <w:kern w:val="2"/>
        </w:rPr>
        <w:t>1.6</w:t>
      </w:r>
      <w:bookmarkEnd w:id="3"/>
      <w:r>
        <w:rPr>
          <w:rFonts w:hint="eastAsia" w:ascii="宋体" w:hAnsi="宋体" w:cs="宋体"/>
          <w:kern w:val="2"/>
        </w:rPr>
        <w:t>投标方应提供高质量的设备，这些设备是成熟可靠、技术先进的，投标方具有设备制造、运行成功的经验，提供相关产品鉴定证书。</w:t>
      </w:r>
    </w:p>
    <w:p>
      <w:pPr>
        <w:pStyle w:val="15"/>
        <w:tabs>
          <w:tab w:val="left" w:pos="0"/>
        </w:tabs>
        <w:spacing w:before="0" w:line="360" w:lineRule="auto"/>
        <w:rPr>
          <w:rFonts w:ascii="宋体" w:hAnsi="宋体" w:cs="宋体"/>
          <w:kern w:val="2"/>
        </w:rPr>
      </w:pPr>
      <w:r>
        <w:rPr>
          <w:rFonts w:hint="eastAsia" w:ascii="宋体" w:hAnsi="宋体" w:cs="宋体"/>
          <w:kern w:val="2"/>
        </w:rPr>
        <w:t>1.7现场施工安全管理、标准化作业、文明生产必须执行招标方的相关制度。</w:t>
      </w:r>
    </w:p>
    <w:p>
      <w:pPr>
        <w:pStyle w:val="15"/>
        <w:tabs>
          <w:tab w:val="left" w:pos="0"/>
        </w:tabs>
        <w:spacing w:before="0" w:line="360" w:lineRule="auto"/>
        <w:ind w:left="5"/>
        <w:rPr>
          <w:rFonts w:hint="eastAsia" w:ascii="宋体" w:hAnsi="宋体" w:cs="宋体"/>
          <w:kern w:val="2"/>
        </w:rPr>
      </w:pPr>
      <w:r>
        <w:rPr>
          <w:rFonts w:hint="eastAsia" w:ascii="宋体" w:hAnsi="宋体" w:cs="宋体"/>
          <w:kern w:val="2"/>
        </w:rPr>
        <w:t>1.8设备采用的技术不得涉及他人的专利，所有专利涉及到的全部费用均已包含在设备报价中，投标方保证招标方不承担有关设备专利的一切责任。</w:t>
      </w:r>
    </w:p>
    <w:p>
      <w:pPr>
        <w:pStyle w:val="15"/>
        <w:tabs>
          <w:tab w:val="left" w:pos="0"/>
        </w:tabs>
        <w:spacing w:before="0" w:line="360" w:lineRule="auto"/>
        <w:ind w:left="5"/>
        <w:rPr>
          <w:rFonts w:hint="eastAsia" w:ascii="宋体" w:hAnsi="宋体" w:cs="宋体"/>
          <w:kern w:val="2"/>
        </w:rPr>
      </w:pPr>
      <w:r>
        <w:rPr>
          <w:rFonts w:hint="eastAsia" w:ascii="宋体" w:hAnsi="宋体" w:cs="宋体"/>
          <w:kern w:val="2"/>
          <w:lang w:val="en-US" w:eastAsia="zh-CN"/>
        </w:rPr>
        <w:t>1.9</w:t>
      </w:r>
      <w:r>
        <w:rPr>
          <w:rFonts w:hint="eastAsia" w:ascii="宋体" w:hAnsi="宋体" w:cs="宋体"/>
          <w:kern w:val="2"/>
        </w:rPr>
        <w:t>加强安全、卫生、环境的综合治理，使之符合国家和企业所在地安全、卫生、环保标准，三废按照循环经济的设计原则，综合利用；采用节能、环保技术，合理利用能源。改善劳动条件，提高生产率。</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1.10由投标人自行踏勘，由此造成的一切后果由投标人自行承担。结合原焦炉情况合理工艺布置、设备设施改造。</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1.11投标方必须具备火力发电乙级以上（含）或冶金行业乙级且具备压力管道设计资质。</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1.12该工程允许以联合体方式投标，但不允许转包。</w:t>
      </w:r>
    </w:p>
    <w:p>
      <w:pPr>
        <w:spacing w:after="0" w:line="360" w:lineRule="auto"/>
        <w:rPr>
          <w:rFonts w:hint="eastAsia" w:ascii="宋体" w:hAnsi="宋体" w:eastAsia="宋体"/>
          <w:b/>
          <w:bCs/>
          <w:sz w:val="24"/>
          <w:szCs w:val="24"/>
          <w:lang w:eastAsia="zh-CN"/>
        </w:rPr>
      </w:pPr>
      <w:r>
        <w:rPr>
          <w:rFonts w:hint="eastAsia" w:ascii="宋体" w:hAnsi="宋体" w:eastAsia="宋体"/>
          <w:b/>
          <w:bCs/>
          <w:sz w:val="24"/>
          <w:szCs w:val="24"/>
          <w:lang w:eastAsia="zh-CN"/>
        </w:rPr>
        <w:t>二、概况</w:t>
      </w:r>
    </w:p>
    <w:p>
      <w:pPr>
        <w:pStyle w:val="15"/>
        <w:tabs>
          <w:tab w:val="left" w:pos="0"/>
        </w:tabs>
        <w:spacing w:before="0" w:line="360" w:lineRule="auto"/>
        <w:ind w:left="5"/>
        <w:rPr>
          <w:rFonts w:hint="eastAsia" w:ascii="宋体" w:hAnsi="宋体" w:cs="宋体"/>
          <w:kern w:val="2"/>
          <w:lang w:val="en-US" w:eastAsia="zh-CN"/>
        </w:rPr>
      </w:pPr>
      <w:bookmarkStart w:id="4" w:name="_Toc29029"/>
      <w:r>
        <w:rPr>
          <w:rFonts w:hint="eastAsia" w:ascii="宋体" w:hAnsi="宋体" w:cs="宋体"/>
          <w:kern w:val="2"/>
          <w:lang w:val="en-US" w:eastAsia="zh-CN"/>
        </w:rPr>
        <w:t>2.1项目名称：</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color w:val="auto"/>
          <w:kern w:val="2"/>
        </w:rPr>
        <w:t>芜湖新兴</w:t>
      </w:r>
      <w:r>
        <w:rPr>
          <w:rFonts w:hint="eastAsia" w:ascii="宋体" w:hAnsi="宋体" w:cs="宋体"/>
          <w:color w:val="auto"/>
          <w:kern w:val="2"/>
          <w:lang w:eastAsia="zh-CN"/>
        </w:rPr>
        <w:t>铸管有限责任公司铁前事业部</w:t>
      </w:r>
      <w:r>
        <w:rPr>
          <w:rFonts w:hint="eastAsia" w:ascii="宋体" w:hAnsi="宋体" w:cs="宋体"/>
          <w:color w:val="auto"/>
          <w:kern w:val="2"/>
          <w:lang w:val="en-US" w:eastAsia="zh-CN"/>
        </w:rPr>
        <w:t>120万吨/年</w:t>
      </w:r>
      <w:r>
        <w:rPr>
          <w:rFonts w:hint="eastAsia" w:ascii="宋体" w:hAnsi="宋体" w:cs="宋体"/>
          <w:color w:val="auto"/>
          <w:kern w:val="2"/>
          <w:lang w:eastAsia="zh-CN"/>
        </w:rPr>
        <w:t>焦炉上升管余热回收</w:t>
      </w:r>
      <w:r>
        <w:rPr>
          <w:rFonts w:hint="eastAsia" w:ascii="宋体" w:hAnsi="宋体" w:cs="宋体"/>
          <w:color w:val="auto"/>
          <w:kern w:val="2"/>
        </w:rPr>
        <w:t>项目</w:t>
      </w:r>
      <w:r>
        <w:rPr>
          <w:rFonts w:hint="eastAsia" w:ascii="宋体" w:hAnsi="宋体" w:cs="宋体"/>
          <w:color w:val="auto"/>
          <w:kern w:val="2"/>
          <w:lang w:eastAsia="zh-CN"/>
        </w:rPr>
        <w:t>。</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2.2焦炉设计基本参数：</w:t>
      </w:r>
    </w:p>
    <w:p>
      <w:pPr>
        <w:tabs>
          <w:tab w:val="left" w:pos="3840"/>
          <w:tab w:val="left" w:pos="5640"/>
          <w:tab w:val="center" w:pos="6804"/>
          <w:tab w:val="right" w:pos="7371"/>
        </w:tabs>
        <w:ind w:left="85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炭化室孔数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2×58 孔</w:t>
      </w:r>
    </w:p>
    <w:p>
      <w:pPr>
        <w:tabs>
          <w:tab w:val="left" w:pos="3840"/>
          <w:tab w:val="left" w:pos="5640"/>
          <w:tab w:val="center" w:pos="6804"/>
          <w:tab w:val="right" w:pos="7371"/>
        </w:tabs>
        <w:ind w:left="851"/>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炭化室有效容积</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highlight w:val="none"/>
          <w:lang w:val="en-US" w:eastAsia="zh-CN" w:bidi="ar-SA"/>
        </w:rPr>
        <w:t>40 m3/孔</w:t>
      </w:r>
    </w:p>
    <w:p>
      <w:pPr>
        <w:tabs>
          <w:tab w:val="left" w:pos="3840"/>
          <w:tab w:val="left" w:pos="5640"/>
          <w:tab w:val="center" w:pos="6804"/>
          <w:tab w:val="right" w:pos="7371"/>
        </w:tabs>
        <w:ind w:left="85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每孔炭化室装煤量(干)</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highlight w:val="none"/>
          <w:lang w:val="en-US" w:eastAsia="zh-CN" w:bidi="ar-SA"/>
        </w:rPr>
        <w:t>29.75 t</w:t>
      </w:r>
    </w:p>
    <w:p>
      <w:pPr>
        <w:tabs>
          <w:tab w:val="left" w:pos="3840"/>
          <w:tab w:val="left" w:pos="5640"/>
          <w:tab w:val="center" w:pos="6804"/>
          <w:tab w:val="right" w:pos="7371"/>
        </w:tabs>
        <w:ind w:left="85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焦炉周转时间</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19 h</w:t>
      </w:r>
    </w:p>
    <w:p>
      <w:pPr>
        <w:tabs>
          <w:tab w:val="left" w:pos="3840"/>
          <w:tab w:val="left" w:pos="5640"/>
          <w:tab w:val="center" w:pos="6804"/>
          <w:tab w:val="right" w:pos="7371"/>
        </w:tabs>
        <w:ind w:left="85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焦炉年工作日数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365 d</w:t>
      </w:r>
    </w:p>
    <w:p>
      <w:pPr>
        <w:tabs>
          <w:tab w:val="left" w:pos="3840"/>
          <w:tab w:val="left" w:pos="5640"/>
          <w:tab w:val="center" w:pos="6804"/>
          <w:tab w:val="right" w:pos="7371"/>
        </w:tabs>
        <w:ind w:left="851"/>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装炉煤水分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highlight w:val="none"/>
          <w:lang w:val="en-US" w:eastAsia="zh-CN" w:bidi="ar-SA"/>
        </w:rPr>
        <w:t>10％</w:t>
      </w:r>
    </w:p>
    <w:p>
      <w:pPr>
        <w:tabs>
          <w:tab w:val="left" w:pos="3840"/>
          <w:tab w:val="left" w:pos="5640"/>
          <w:tab w:val="center" w:pos="6804"/>
          <w:tab w:val="right" w:pos="7371"/>
        </w:tabs>
        <w:ind w:left="851"/>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煤气产率</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highlight w:val="none"/>
          <w:lang w:val="en-US" w:eastAsia="zh-CN" w:bidi="ar-SA"/>
        </w:rPr>
        <w:t>320 m3/t干煤</w:t>
      </w:r>
    </w:p>
    <w:p>
      <w:pPr>
        <w:tabs>
          <w:tab w:val="left" w:pos="3840"/>
          <w:tab w:val="left" w:pos="5640"/>
          <w:tab w:val="center" w:pos="6804"/>
          <w:tab w:val="right" w:pos="7371"/>
        </w:tabs>
        <w:ind w:left="85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全焦产率</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76％</w:t>
      </w:r>
    </w:p>
    <w:p>
      <w:pPr>
        <w:widowControl/>
        <w:wordWrap/>
        <w:adjustRightInd w:val="0"/>
        <w:snapToGrid w:val="0"/>
        <w:spacing w:before="0" w:after="200" w:line="360" w:lineRule="auto"/>
        <w:ind w:left="480" w:leftChars="218" w:right="0" w:firstLine="0" w:firstLineChars="0"/>
        <w:jc w:val="left"/>
        <w:textAlignment w:val="auto"/>
        <w:outlineLvl w:val="9"/>
        <w:rPr>
          <w:rFonts w:hint="default"/>
          <w:lang w:val="en-US" w:eastAsia="zh-CN"/>
        </w:rPr>
      </w:pPr>
      <w:r>
        <w:rPr>
          <w:rFonts w:hint="eastAsia" w:ascii="宋体" w:hAnsi="宋体" w:eastAsia="宋体" w:cs="宋体"/>
          <w:color w:val="auto"/>
          <w:kern w:val="2"/>
          <w:sz w:val="24"/>
          <w:szCs w:val="24"/>
          <w:lang w:val="en-US" w:eastAsia="zh-CN" w:bidi="ar-SA"/>
        </w:rPr>
        <w:t>本项目焦炉为2×58孔JN60-8型复热式焦炉，年产干全焦约120万t。  该焦炉采用了炭化室加宽设计，不同与传统6米顶装焦炉。</w:t>
      </w:r>
    </w:p>
    <w:p>
      <w:pPr>
        <w:pStyle w:val="7"/>
        <w:numPr>
          <w:ilvl w:val="3"/>
          <w:numId w:val="0"/>
        </w:numPr>
        <w:ind w:firstLine="480" w:firstLineChars="200"/>
        <w:rPr>
          <w:rFonts w:hint="eastAsia" w:ascii="宋体" w:hAnsi="宋体" w:eastAsia="宋体" w:cs="宋体"/>
          <w:color w:val="auto"/>
          <w:kern w:val="2"/>
          <w:sz w:val="24"/>
          <w:szCs w:val="24"/>
          <w:lang w:val="en-US" w:eastAsia="zh-CN" w:bidi="ar-SA"/>
        </w:rPr>
      </w:pPr>
      <w:bookmarkStart w:id="13" w:name="_GoBack"/>
      <w:bookmarkEnd w:id="13"/>
      <w:r>
        <w:rPr>
          <w:rFonts w:hint="eastAsia" w:ascii="宋体" w:hAnsi="宋体" w:eastAsia="宋体" w:cs="宋体"/>
          <w:color w:val="auto"/>
          <w:kern w:val="2"/>
          <w:sz w:val="24"/>
          <w:szCs w:val="24"/>
          <w:lang w:val="en-US" w:eastAsia="zh-CN" w:bidi="ar-SA"/>
        </w:rPr>
        <w:t>焦炉主要参数：</w:t>
      </w:r>
    </w:p>
    <w:tbl>
      <w:tblPr>
        <w:tblStyle w:val="10"/>
        <w:tblW w:w="7420" w:type="dxa"/>
        <w:tblInd w:w="14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
        <w:gridCol w:w="3582"/>
        <w:gridCol w:w="1216"/>
        <w:gridCol w:w="17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12"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hint="eastAsia" w:ascii="宋体" w:hAnsi="宋体"/>
                <w:szCs w:val="28"/>
                <w:highlight w:val="none"/>
              </w:rPr>
              <w:t>序</w:t>
            </w:r>
            <w:r>
              <w:rPr>
                <w:rFonts w:ascii="宋体" w:hAnsi="宋体"/>
                <w:szCs w:val="28"/>
                <w:highlight w:val="none"/>
              </w:rPr>
              <w:t xml:space="preserve">  </w:t>
            </w:r>
            <w:r>
              <w:rPr>
                <w:rFonts w:hint="eastAsia" w:ascii="宋体" w:hAnsi="宋体"/>
                <w:szCs w:val="28"/>
                <w:highlight w:val="none"/>
              </w:rPr>
              <w:t>号</w:t>
            </w:r>
          </w:p>
        </w:tc>
        <w:tc>
          <w:tcPr>
            <w:tcW w:w="3582" w:type="dxa"/>
            <w:tcBorders>
              <w:top w:val="single" w:color="auto" w:sz="12"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hint="eastAsia" w:ascii="宋体" w:hAnsi="宋体"/>
                <w:szCs w:val="28"/>
                <w:highlight w:val="none"/>
              </w:rPr>
              <w:t>名</w:t>
            </w:r>
            <w:r>
              <w:rPr>
                <w:rFonts w:ascii="宋体" w:hAnsi="宋体"/>
                <w:szCs w:val="28"/>
                <w:highlight w:val="none"/>
              </w:rPr>
              <w:t xml:space="preserve">      </w:t>
            </w:r>
            <w:r>
              <w:rPr>
                <w:rFonts w:hint="eastAsia" w:ascii="宋体" w:hAnsi="宋体"/>
                <w:szCs w:val="28"/>
                <w:highlight w:val="none"/>
              </w:rPr>
              <w:t>称</w:t>
            </w:r>
          </w:p>
        </w:tc>
        <w:tc>
          <w:tcPr>
            <w:tcW w:w="1216" w:type="dxa"/>
            <w:tcBorders>
              <w:top w:val="single" w:color="auto" w:sz="12"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hint="eastAsia" w:ascii="宋体" w:hAnsi="宋体"/>
                <w:szCs w:val="28"/>
                <w:highlight w:val="none"/>
              </w:rPr>
              <w:t>单</w:t>
            </w:r>
            <w:r>
              <w:rPr>
                <w:rFonts w:ascii="宋体" w:hAnsi="宋体"/>
                <w:szCs w:val="28"/>
                <w:highlight w:val="none"/>
              </w:rPr>
              <w:t xml:space="preserve"> </w:t>
            </w:r>
            <w:r>
              <w:rPr>
                <w:rFonts w:hint="eastAsia" w:ascii="宋体" w:hAnsi="宋体"/>
                <w:szCs w:val="28"/>
                <w:highlight w:val="none"/>
              </w:rPr>
              <w:t>位</w:t>
            </w:r>
          </w:p>
        </w:tc>
        <w:tc>
          <w:tcPr>
            <w:tcW w:w="1727" w:type="dxa"/>
            <w:tcBorders>
              <w:top w:val="single" w:color="auto" w:sz="12" w:space="0"/>
              <w:left w:val="nil"/>
              <w:bottom w:val="nil"/>
            </w:tcBorders>
            <w:vAlign w:val="top"/>
          </w:tcPr>
          <w:p>
            <w:pPr>
              <w:tabs>
                <w:tab w:val="center" w:pos="6804"/>
                <w:tab w:val="right" w:pos="7371"/>
              </w:tabs>
              <w:spacing w:before="120"/>
              <w:ind w:right="-121" w:firstLine="0"/>
              <w:rPr>
                <w:rFonts w:ascii="宋体" w:hAnsi="宋体"/>
                <w:szCs w:val="28"/>
                <w:highlight w:val="none"/>
              </w:rPr>
            </w:pPr>
            <w:r>
              <w:rPr>
                <w:rFonts w:hint="eastAsia" w:ascii="宋体" w:hAnsi="宋体"/>
                <w:szCs w:val="28"/>
                <w:highlight w:val="none"/>
              </w:rPr>
              <w:t>数</w:t>
            </w:r>
            <w:r>
              <w:rPr>
                <w:rFonts w:ascii="宋体" w:hAnsi="宋体"/>
                <w:szCs w:val="28"/>
                <w:highlight w:val="none"/>
              </w:rPr>
              <w:t xml:space="preserve">   </w:t>
            </w:r>
            <w:r>
              <w:rPr>
                <w:rFonts w:hint="eastAsia" w:ascii="宋体" w:hAnsi="宋体"/>
                <w:szCs w:val="28"/>
                <w:highlight w:val="none"/>
              </w:rPr>
              <w:t>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12"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1</w:t>
            </w:r>
          </w:p>
        </w:tc>
        <w:tc>
          <w:tcPr>
            <w:tcW w:w="3582" w:type="dxa"/>
            <w:tcBorders>
              <w:top w:val="single" w:color="auto" w:sz="12"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炭化室全长</w:t>
            </w:r>
          </w:p>
        </w:tc>
        <w:tc>
          <w:tcPr>
            <w:tcW w:w="1216" w:type="dxa"/>
            <w:tcBorders>
              <w:top w:val="single" w:color="auto" w:sz="12"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12" w:space="0"/>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15980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2</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炭化室有效长</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15140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3</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炭化室全高</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6000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4</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炭化室有效高</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5650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5</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炭化室平均宽</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hint="eastAsia" w:ascii="宋体" w:hAnsi="宋体"/>
                <w:szCs w:val="28"/>
                <w:highlight w:val="none"/>
              </w:rPr>
            </w:pPr>
            <w:r>
              <w:rPr>
                <w:rFonts w:hint="eastAsia" w:ascii="宋体" w:hAnsi="宋体"/>
                <w:szCs w:val="28"/>
                <w:highlight w:val="none"/>
              </w:rPr>
              <w:t>470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6</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炭化室锥度</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hint="eastAsia" w:ascii="宋体" w:hAnsi="宋体"/>
                <w:szCs w:val="28"/>
                <w:highlight w:val="none"/>
              </w:rPr>
            </w:pPr>
            <w:r>
              <w:rPr>
                <w:rFonts w:hint="eastAsia" w:ascii="宋体" w:hAnsi="宋体"/>
                <w:szCs w:val="28"/>
                <w:highlight w:val="none"/>
              </w:rPr>
              <w:t>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7</w:t>
            </w:r>
          </w:p>
        </w:tc>
        <w:tc>
          <w:tcPr>
            <w:tcW w:w="3582"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炭化室中心距</w:t>
            </w:r>
          </w:p>
        </w:tc>
        <w:tc>
          <w:tcPr>
            <w:tcW w:w="1216" w:type="dxa"/>
            <w:tcBorders>
              <w:top w:val="single" w:color="auto" w:sz="6" w:space="0"/>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1300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single" w:color="auto" w:sz="6" w:space="0"/>
              <w:bottom w:val="single" w:color="auto" w:sz="6"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8</w:t>
            </w:r>
          </w:p>
        </w:tc>
        <w:tc>
          <w:tcPr>
            <w:tcW w:w="3582" w:type="dxa"/>
            <w:tcBorders>
              <w:top w:val="single" w:color="auto" w:sz="6" w:space="0"/>
              <w:left w:val="nil"/>
              <w:bottom w:val="single" w:color="auto" w:sz="6"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炭化室有效容积</w:t>
            </w:r>
          </w:p>
        </w:tc>
        <w:tc>
          <w:tcPr>
            <w:tcW w:w="1216" w:type="dxa"/>
            <w:tcBorders>
              <w:top w:val="single" w:color="auto" w:sz="6" w:space="0"/>
              <w:left w:val="nil"/>
              <w:bottom w:val="single" w:color="auto" w:sz="6"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w:t>
            </w:r>
            <w:r>
              <w:rPr>
                <w:rFonts w:ascii="宋体" w:hAnsi="宋体"/>
                <w:szCs w:val="28"/>
                <w:highlight w:val="none"/>
              </w:rPr>
              <w:sym w:font="Kino MT" w:char="00B3"/>
            </w:r>
          </w:p>
        </w:tc>
        <w:tc>
          <w:tcPr>
            <w:tcW w:w="1727" w:type="dxa"/>
            <w:tcBorders>
              <w:top w:val="single" w:color="auto" w:sz="6" w:space="0"/>
              <w:left w:val="nil"/>
              <w:bottom w:val="single" w:color="auto" w:sz="6" w:space="0"/>
            </w:tcBorders>
            <w:vAlign w:val="center"/>
          </w:tcPr>
          <w:p>
            <w:pPr>
              <w:tabs>
                <w:tab w:val="center" w:pos="6804"/>
                <w:tab w:val="right" w:pos="7371"/>
              </w:tabs>
              <w:spacing w:before="120"/>
              <w:ind w:right="-121" w:firstLine="0"/>
              <w:rPr>
                <w:rFonts w:hint="eastAsia" w:ascii="宋体" w:hAnsi="宋体"/>
                <w:szCs w:val="28"/>
                <w:highlight w:val="none"/>
              </w:rPr>
            </w:pPr>
            <w:r>
              <w:rPr>
                <w:rFonts w:hint="eastAsia" w:ascii="宋体" w:hAnsi="宋体"/>
                <w:szCs w:val="28"/>
                <w:highlight w:val="none"/>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02" w:hRule="exact"/>
        </w:trPr>
        <w:tc>
          <w:tcPr>
            <w:tcW w:w="895" w:type="dxa"/>
            <w:tcBorders>
              <w:top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9</w:t>
            </w:r>
          </w:p>
        </w:tc>
        <w:tc>
          <w:tcPr>
            <w:tcW w:w="3582" w:type="dxa"/>
            <w:tcBorders>
              <w:top w:val="nil"/>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立火道中心距</w:t>
            </w:r>
          </w:p>
        </w:tc>
        <w:tc>
          <w:tcPr>
            <w:tcW w:w="1216" w:type="dxa"/>
            <w:tcBorders>
              <w:top w:val="nil"/>
              <w:left w:val="nil"/>
              <w:bottom w:val="nil"/>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nil"/>
              <w:left w:val="nil"/>
              <w:bottom w:val="nil"/>
            </w:tcBorders>
            <w:vAlign w:val="center"/>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480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4" w:hRule="exact"/>
        </w:trPr>
        <w:tc>
          <w:tcPr>
            <w:tcW w:w="895" w:type="dxa"/>
            <w:tcBorders>
              <w:top w:val="single" w:color="auto" w:sz="6" w:space="0"/>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10</w:t>
            </w:r>
          </w:p>
        </w:tc>
        <w:tc>
          <w:tcPr>
            <w:tcW w:w="3582"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 xml:space="preserve"> </w:t>
            </w:r>
            <w:r>
              <w:rPr>
                <w:rFonts w:hint="eastAsia" w:ascii="宋体" w:hAnsi="宋体"/>
                <w:szCs w:val="28"/>
                <w:highlight w:val="none"/>
              </w:rPr>
              <w:t>加热水平</w:t>
            </w:r>
          </w:p>
        </w:tc>
        <w:tc>
          <w:tcPr>
            <w:tcW w:w="1216"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mm</w:t>
            </w:r>
          </w:p>
        </w:tc>
        <w:tc>
          <w:tcPr>
            <w:tcW w:w="1727" w:type="dxa"/>
            <w:tcBorders>
              <w:top w:val="single" w:color="auto" w:sz="6" w:space="0"/>
              <w:left w:val="nil"/>
              <w:bottom w:val="single" w:color="auto" w:sz="12" w:space="0"/>
            </w:tcBorders>
            <w:vAlign w:val="center"/>
          </w:tcPr>
          <w:p>
            <w:pPr>
              <w:tabs>
                <w:tab w:val="center" w:pos="6804"/>
                <w:tab w:val="right" w:pos="7371"/>
              </w:tabs>
              <w:spacing w:before="120"/>
              <w:ind w:right="-121" w:firstLine="0"/>
              <w:rPr>
                <w:rFonts w:hint="eastAsia" w:ascii="宋体" w:hAnsi="宋体"/>
                <w:szCs w:val="28"/>
                <w:highlight w:val="none"/>
              </w:rPr>
            </w:pPr>
            <w:r>
              <w:rPr>
                <w:rFonts w:ascii="宋体" w:hAnsi="宋体"/>
                <w:szCs w:val="28"/>
                <w:highlight w:val="none"/>
              </w:rPr>
              <w:t>1005</w:t>
            </w:r>
          </w:p>
          <w:p>
            <w:pPr>
              <w:tabs>
                <w:tab w:val="center" w:pos="6804"/>
                <w:tab w:val="right" w:pos="7371"/>
              </w:tabs>
              <w:spacing w:before="120"/>
              <w:ind w:right="-121" w:firstLine="0"/>
              <w:rPr>
                <w:rFonts w:hint="eastAsia" w:ascii="宋体" w:hAnsi="宋体"/>
                <w:szCs w:val="28"/>
                <w:highlight w:val="none"/>
              </w:rPr>
            </w:pPr>
          </w:p>
          <w:p>
            <w:pPr>
              <w:tabs>
                <w:tab w:val="center" w:pos="6804"/>
                <w:tab w:val="right" w:pos="7371"/>
              </w:tabs>
              <w:spacing w:before="120"/>
              <w:ind w:right="-121" w:firstLine="0"/>
              <w:rPr>
                <w:rFonts w:hint="eastAsia" w:ascii="宋体" w:hAnsi="宋体"/>
                <w:szCs w:val="28"/>
                <w:highlight w:val="none"/>
              </w:rPr>
            </w:pPr>
          </w:p>
          <w:p>
            <w:pPr>
              <w:tabs>
                <w:tab w:val="center" w:pos="6804"/>
                <w:tab w:val="right" w:pos="7371"/>
              </w:tabs>
              <w:spacing w:before="120"/>
              <w:ind w:right="-121" w:firstLine="0"/>
              <w:rPr>
                <w:rFonts w:hint="eastAsia" w:ascii="宋体" w:hAnsi="宋体"/>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4" w:hRule="exact"/>
        </w:trPr>
        <w:tc>
          <w:tcPr>
            <w:tcW w:w="895" w:type="dxa"/>
            <w:tcBorders>
              <w:top w:val="single" w:color="auto" w:sz="6" w:space="0"/>
              <w:bottom w:val="single" w:color="auto" w:sz="12" w:space="0"/>
              <w:right w:val="single" w:color="auto" w:sz="12" w:space="0"/>
            </w:tcBorders>
            <w:vAlign w:val="top"/>
          </w:tcPr>
          <w:p>
            <w:pPr>
              <w:tabs>
                <w:tab w:val="center" w:pos="6804"/>
                <w:tab w:val="right" w:pos="7371"/>
              </w:tabs>
              <w:spacing w:before="120"/>
              <w:ind w:right="-121" w:firstLine="0"/>
              <w:rPr>
                <w:rFonts w:hint="eastAsia" w:ascii="宋体" w:hAnsi="宋体" w:eastAsia="微软雅黑"/>
                <w:szCs w:val="28"/>
                <w:highlight w:val="none"/>
                <w:lang w:val="en-US" w:eastAsia="zh-CN"/>
              </w:rPr>
            </w:pPr>
            <w:r>
              <w:rPr>
                <w:rFonts w:hint="eastAsia" w:ascii="宋体" w:hAnsi="宋体"/>
                <w:szCs w:val="28"/>
                <w:highlight w:val="none"/>
                <w:lang w:val="en-US" w:eastAsia="zh-CN"/>
              </w:rPr>
              <w:t>11</w:t>
            </w:r>
          </w:p>
        </w:tc>
        <w:tc>
          <w:tcPr>
            <w:tcW w:w="3582"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装煤含水量</w:t>
            </w:r>
          </w:p>
        </w:tc>
        <w:tc>
          <w:tcPr>
            <w:tcW w:w="1216"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hint="eastAsia" w:ascii="宋体" w:hAnsi="宋体"/>
                <w:szCs w:val="28"/>
                <w:highlight w:val="none"/>
              </w:rPr>
              <w:t>%</w:t>
            </w:r>
          </w:p>
        </w:tc>
        <w:tc>
          <w:tcPr>
            <w:tcW w:w="1727" w:type="dxa"/>
            <w:tcBorders>
              <w:top w:val="single" w:color="auto" w:sz="6" w:space="0"/>
              <w:left w:val="nil"/>
              <w:bottom w:val="single" w:color="auto" w:sz="12" w:space="0"/>
            </w:tcBorders>
            <w:vAlign w:val="center"/>
          </w:tcPr>
          <w:p>
            <w:pPr>
              <w:tabs>
                <w:tab w:val="center" w:pos="6804"/>
                <w:tab w:val="right" w:pos="7371"/>
              </w:tabs>
              <w:spacing w:before="120"/>
              <w:ind w:right="-121" w:firstLine="0"/>
              <w:rPr>
                <w:rFonts w:hint="eastAsia" w:ascii="宋体" w:hAnsi="宋体"/>
                <w:szCs w:val="28"/>
                <w:highlight w:val="none"/>
              </w:rPr>
            </w:pPr>
            <w:r>
              <w:rPr>
                <w:rFonts w:ascii="宋体" w:hAnsi="宋体"/>
                <w:szCs w:val="28"/>
                <w:highlight w:val="none"/>
              </w:rPr>
              <w:t>9</w:t>
            </w:r>
            <w:r>
              <w:rPr>
                <w:rFonts w:hint="eastAsia" w:ascii="宋体" w:hAnsi="宋体"/>
                <w:szCs w:val="28"/>
                <w:highlight w:val="none"/>
              </w:rPr>
              <w:t>~</w:t>
            </w:r>
            <w:r>
              <w:rPr>
                <w:rFonts w:ascii="宋体" w:hAnsi="宋体"/>
                <w:szCs w:val="28"/>
                <w:highlight w:val="none"/>
              </w:rPr>
              <w:t>13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4" w:hRule="exact"/>
        </w:trPr>
        <w:tc>
          <w:tcPr>
            <w:tcW w:w="895" w:type="dxa"/>
            <w:tcBorders>
              <w:top w:val="single" w:color="auto" w:sz="6" w:space="0"/>
              <w:bottom w:val="single" w:color="auto" w:sz="12" w:space="0"/>
              <w:right w:val="single" w:color="auto" w:sz="12" w:space="0"/>
            </w:tcBorders>
            <w:vAlign w:val="top"/>
          </w:tcPr>
          <w:p>
            <w:pPr>
              <w:tabs>
                <w:tab w:val="center" w:pos="6804"/>
                <w:tab w:val="right" w:pos="7371"/>
              </w:tabs>
              <w:spacing w:before="120"/>
              <w:ind w:right="-121" w:firstLine="0"/>
              <w:rPr>
                <w:rFonts w:hint="eastAsia" w:ascii="宋体" w:hAnsi="宋体" w:eastAsia="微软雅黑"/>
                <w:szCs w:val="28"/>
                <w:highlight w:val="none"/>
                <w:lang w:val="en-US" w:eastAsia="zh-CN"/>
              </w:rPr>
            </w:pPr>
            <w:r>
              <w:rPr>
                <w:rFonts w:hint="eastAsia" w:ascii="宋体" w:hAnsi="宋体"/>
                <w:szCs w:val="28"/>
                <w:highlight w:val="none"/>
                <w:lang w:val="en-US" w:eastAsia="zh-CN"/>
              </w:rPr>
              <w:t>12</w:t>
            </w:r>
          </w:p>
        </w:tc>
        <w:tc>
          <w:tcPr>
            <w:tcW w:w="3582"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煤气产率</w:t>
            </w:r>
          </w:p>
        </w:tc>
        <w:tc>
          <w:tcPr>
            <w:tcW w:w="1216"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hint="eastAsia" w:ascii="宋体" w:hAnsi="宋体"/>
                <w:szCs w:val="28"/>
                <w:highlight w:val="none"/>
                <w:lang w:val="en-US" w:eastAsia="zh-CN"/>
              </w:rPr>
            </w:pPr>
            <w:r>
              <w:rPr>
                <w:rFonts w:ascii="宋体" w:hAnsi="宋体"/>
                <w:szCs w:val="28"/>
                <w:highlight w:val="none"/>
              </w:rPr>
              <w:t>m(</w:t>
            </w:r>
            <w:r>
              <w:rPr>
                <w:rFonts w:hint="eastAsia" w:ascii="宋体" w:hAnsi="宋体"/>
                <w:szCs w:val="28"/>
                <w:highlight w:val="none"/>
                <w:lang w:val="en-US" w:eastAsia="zh-CN"/>
              </w:rPr>
              <w:t>/T</w:t>
            </w:r>
          </w:p>
        </w:tc>
        <w:tc>
          <w:tcPr>
            <w:tcW w:w="1727" w:type="dxa"/>
            <w:tcBorders>
              <w:top w:val="single" w:color="auto" w:sz="6" w:space="0"/>
              <w:left w:val="nil"/>
              <w:bottom w:val="single" w:color="auto" w:sz="12" w:space="0"/>
            </w:tcBorders>
            <w:vAlign w:val="center"/>
          </w:tcPr>
          <w:p>
            <w:pPr>
              <w:tabs>
                <w:tab w:val="center" w:pos="6804"/>
                <w:tab w:val="right" w:pos="7371"/>
              </w:tabs>
              <w:spacing w:before="120"/>
              <w:ind w:right="-121" w:firstLine="0"/>
              <w:rPr>
                <w:rFonts w:hint="eastAsia" w:ascii="宋体" w:hAnsi="宋体"/>
                <w:szCs w:val="28"/>
                <w:highlight w:val="none"/>
              </w:rPr>
            </w:pPr>
            <w:r>
              <w:rPr>
                <w:rFonts w:hint="eastAsia" w:ascii="宋体" w:hAnsi="宋体"/>
                <w:szCs w:val="28"/>
                <w:highlight w:val="none"/>
              </w:rPr>
              <w:t>3</w:t>
            </w:r>
            <w:r>
              <w:rPr>
                <w:rFonts w:ascii="宋体" w:hAnsi="宋体"/>
                <w:szCs w:val="28"/>
                <w:highlight w:val="none"/>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4" w:hRule="exact"/>
        </w:trPr>
        <w:tc>
          <w:tcPr>
            <w:tcW w:w="895" w:type="dxa"/>
            <w:tcBorders>
              <w:top w:val="single" w:color="auto" w:sz="6" w:space="0"/>
              <w:bottom w:val="single" w:color="auto" w:sz="12" w:space="0"/>
              <w:right w:val="single" w:color="auto" w:sz="12" w:space="0"/>
            </w:tcBorders>
            <w:vAlign w:val="top"/>
          </w:tcPr>
          <w:p>
            <w:pPr>
              <w:tabs>
                <w:tab w:val="center" w:pos="6804"/>
                <w:tab w:val="right" w:pos="7371"/>
              </w:tabs>
              <w:spacing w:before="120"/>
              <w:ind w:right="-121" w:firstLine="0"/>
              <w:rPr>
                <w:rFonts w:hint="eastAsia" w:ascii="宋体" w:hAnsi="宋体" w:eastAsia="微软雅黑"/>
                <w:szCs w:val="28"/>
                <w:highlight w:val="none"/>
                <w:lang w:val="en-US" w:eastAsia="zh-CN"/>
              </w:rPr>
            </w:pPr>
            <w:r>
              <w:rPr>
                <w:rFonts w:hint="eastAsia" w:ascii="宋体" w:hAnsi="宋体"/>
                <w:szCs w:val="28"/>
                <w:highlight w:val="none"/>
                <w:lang w:val="en-US" w:eastAsia="zh-CN"/>
              </w:rPr>
              <w:t>13</w:t>
            </w:r>
          </w:p>
        </w:tc>
        <w:tc>
          <w:tcPr>
            <w:tcW w:w="3582"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炉顶空间温度</w:t>
            </w:r>
          </w:p>
        </w:tc>
        <w:tc>
          <w:tcPr>
            <w:tcW w:w="1216" w:type="dxa"/>
            <w:tcBorders>
              <w:top w:val="single" w:color="auto" w:sz="6" w:space="0"/>
              <w:left w:val="nil"/>
              <w:bottom w:val="single" w:color="auto" w:sz="12" w:space="0"/>
              <w:right w:val="single" w:color="auto" w:sz="12" w:space="0"/>
            </w:tcBorders>
            <w:vAlign w:val="top"/>
          </w:tcPr>
          <w:p>
            <w:pPr>
              <w:tabs>
                <w:tab w:val="center" w:pos="6804"/>
                <w:tab w:val="right" w:pos="7371"/>
              </w:tabs>
              <w:spacing w:before="120"/>
              <w:ind w:right="-121" w:firstLine="0"/>
              <w:rPr>
                <w:rFonts w:ascii="宋体" w:hAnsi="宋体"/>
                <w:szCs w:val="28"/>
                <w:highlight w:val="none"/>
              </w:rPr>
            </w:pPr>
            <w:r>
              <w:rPr>
                <w:rFonts w:ascii="宋体" w:hAnsi="宋体"/>
                <w:szCs w:val="28"/>
                <w:highlight w:val="none"/>
              </w:rPr>
              <w:t>℃</w:t>
            </w:r>
          </w:p>
        </w:tc>
        <w:tc>
          <w:tcPr>
            <w:tcW w:w="1727" w:type="dxa"/>
            <w:tcBorders>
              <w:top w:val="single" w:color="auto" w:sz="6" w:space="0"/>
              <w:left w:val="nil"/>
              <w:bottom w:val="single" w:color="auto" w:sz="12" w:space="0"/>
            </w:tcBorders>
            <w:vAlign w:val="center"/>
          </w:tcPr>
          <w:p>
            <w:pPr>
              <w:tabs>
                <w:tab w:val="center" w:pos="6804"/>
                <w:tab w:val="right" w:pos="7371"/>
              </w:tabs>
              <w:spacing w:before="120"/>
              <w:ind w:right="-121" w:firstLine="0"/>
              <w:rPr>
                <w:rFonts w:hint="eastAsia" w:ascii="宋体" w:hAnsi="宋体"/>
                <w:szCs w:val="28"/>
                <w:highlight w:val="none"/>
              </w:rPr>
            </w:pPr>
            <w:r>
              <w:rPr>
                <w:rFonts w:ascii="宋体" w:hAnsi="宋体"/>
                <w:szCs w:val="28"/>
                <w:highlight w:val="none"/>
              </w:rPr>
              <w:t>800</w:t>
            </w:r>
            <w:r>
              <w:rPr>
                <w:rFonts w:hint="eastAsia" w:ascii="宋体" w:hAnsi="宋体"/>
                <w:szCs w:val="28"/>
                <w:highlight w:val="none"/>
                <w:lang w:val="en-US" w:eastAsia="zh-CN"/>
              </w:rPr>
              <w:t>±30</w:t>
            </w:r>
          </w:p>
        </w:tc>
      </w:tr>
    </w:tbl>
    <w:p>
      <w:pPr>
        <w:widowControl/>
        <w:wordWrap/>
        <w:adjustRightInd w:val="0"/>
        <w:snapToGrid w:val="0"/>
        <w:spacing w:before="0" w:after="200" w:line="360" w:lineRule="auto"/>
        <w:ind w:left="0" w:leftChars="0" w:right="0" w:firstLine="480" w:firstLineChars="200"/>
        <w:jc w:val="left"/>
        <w:textAlignment w:val="auto"/>
        <w:outlineLvl w:val="9"/>
        <w:rPr>
          <w:rFonts w:hint="eastAsia" w:ascii="宋体" w:hAnsi="宋体" w:eastAsia="宋体" w:cs="宋体"/>
          <w:color w:val="auto"/>
          <w:kern w:val="2"/>
          <w:sz w:val="24"/>
          <w:szCs w:val="24"/>
          <w:lang w:val="en-US" w:eastAsia="zh-CN" w:bidi="ar-SA"/>
        </w:rPr>
      </w:pPr>
    </w:p>
    <w:p>
      <w:pPr>
        <w:pStyle w:val="7"/>
        <w:numPr>
          <w:ilvl w:val="3"/>
          <w:numId w:val="0"/>
        </w:numPr>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粗苯化产参数（管式炉参数）</w:t>
      </w:r>
    </w:p>
    <w:tbl>
      <w:tblPr>
        <w:tblStyle w:val="10"/>
        <w:tblW w:w="5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3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燃料消耗量</w:t>
            </w:r>
          </w:p>
        </w:tc>
        <w:tc>
          <w:tcPr>
            <w:tcW w:w="3448" w:type="dxa"/>
            <w:vAlign w:val="center"/>
          </w:tcPr>
          <w:p>
            <w:pPr>
              <w:autoSpaceDE w:val="0"/>
              <w:autoSpaceDN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用上升管余热加热替代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富油流量</w:t>
            </w:r>
          </w:p>
        </w:tc>
        <w:tc>
          <w:tcPr>
            <w:tcW w:w="3448" w:type="dxa"/>
            <w:vAlign w:val="center"/>
          </w:tcPr>
          <w:p>
            <w:pPr>
              <w:autoSpaceDE w:val="0"/>
              <w:autoSpaceDN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m3/h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富油进出口温度</w:t>
            </w:r>
          </w:p>
        </w:tc>
        <w:tc>
          <w:tcPr>
            <w:tcW w:w="3448"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进口1</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℃，出口18</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低压蒸汽压力</w:t>
            </w:r>
          </w:p>
        </w:tc>
        <w:tc>
          <w:tcPr>
            <w:tcW w:w="3448"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低压蒸汽流量</w:t>
            </w:r>
          </w:p>
        </w:tc>
        <w:tc>
          <w:tcPr>
            <w:tcW w:w="3448"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过热温度要求</w:t>
            </w:r>
          </w:p>
        </w:tc>
        <w:tc>
          <w:tcPr>
            <w:tcW w:w="3448"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320~400℃</w:t>
            </w:r>
          </w:p>
        </w:tc>
      </w:tr>
    </w:tbl>
    <w:p>
      <w:pPr>
        <w:widowControl/>
        <w:wordWrap/>
        <w:adjustRightInd w:val="0"/>
        <w:snapToGrid w:val="0"/>
        <w:spacing w:before="0" w:after="200" w:line="360" w:lineRule="auto"/>
        <w:ind w:right="0"/>
        <w:jc w:val="left"/>
        <w:textAlignment w:val="auto"/>
        <w:outlineLvl w:val="9"/>
        <w:rPr>
          <w:rFonts w:hint="eastAsia" w:ascii="宋体" w:hAnsi="宋体" w:eastAsia="宋体" w:cs="宋体"/>
          <w:color w:val="auto"/>
          <w:kern w:val="2"/>
          <w:sz w:val="24"/>
          <w:szCs w:val="24"/>
          <w:lang w:val="en-US" w:eastAsia="zh-CN" w:bidi="ar-SA"/>
        </w:rPr>
      </w:pPr>
    </w:p>
    <w:p>
      <w:pPr>
        <w:widowControl/>
        <w:wordWrap/>
        <w:adjustRightInd w:val="0"/>
        <w:snapToGrid w:val="0"/>
        <w:spacing w:before="0" w:after="200" w:line="360" w:lineRule="auto"/>
        <w:ind w:right="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2.3工程地点</w:t>
      </w:r>
    </w:p>
    <w:p>
      <w:pPr>
        <w:widowControl/>
        <w:wordWrap/>
        <w:adjustRightInd w:val="0"/>
        <w:snapToGrid w:val="0"/>
        <w:spacing w:before="0" w:after="200" w:line="360" w:lineRule="auto"/>
        <w:ind w:right="0"/>
        <w:jc w:val="left"/>
        <w:textAlignment w:val="auto"/>
        <w:outlineLvl w:val="9"/>
        <w:rPr>
          <w:rFonts w:hint="eastAsia"/>
          <w:lang w:val="en-US" w:eastAsia="zh-CN"/>
        </w:rPr>
      </w:pPr>
      <w:r>
        <w:rPr>
          <w:rFonts w:hint="eastAsia" w:ascii="宋体" w:hAnsi="宋体" w:eastAsia="宋体" w:cs="宋体"/>
          <w:color w:val="auto"/>
          <w:kern w:val="2"/>
          <w:sz w:val="24"/>
          <w:szCs w:val="24"/>
          <w:lang w:val="en-US" w:eastAsia="zh-CN" w:bidi="ar-SA"/>
        </w:rPr>
        <w:t xml:space="preserve">    芜湖新兴铸管有限责任公司铁前事业部焦炉区域内。</w:t>
      </w:r>
    </w:p>
    <w:p>
      <w:pPr>
        <w:pStyle w:val="15"/>
        <w:tabs>
          <w:tab w:val="left" w:pos="0"/>
        </w:tabs>
        <w:wordWrap/>
        <w:adjustRightInd w:val="0"/>
        <w:spacing w:before="0" w:line="360" w:lineRule="auto"/>
        <w:ind w:left="5" w:right="0"/>
        <w:outlineLvl w:val="9"/>
        <w:rPr>
          <w:rFonts w:hint="eastAsia" w:ascii="宋体" w:hAnsi="宋体" w:cs="宋体"/>
          <w:kern w:val="2"/>
          <w:lang w:val="en-US" w:eastAsia="zh-CN"/>
        </w:rPr>
      </w:pPr>
      <w:r>
        <w:rPr>
          <w:rFonts w:hint="eastAsia" w:ascii="宋体" w:hAnsi="宋体" w:cs="宋体"/>
          <w:kern w:val="2"/>
          <w:lang w:val="en-US" w:eastAsia="zh-CN"/>
        </w:rPr>
        <w:t>2.4厂区自然特征</w:t>
      </w:r>
      <w:bookmarkEnd w:id="4"/>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2.4.1厂址地形地貌</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本工程场地临江，海拔为7-9m左右。</w:t>
      </w:r>
    </w:p>
    <w:p>
      <w:pPr>
        <w:pStyle w:val="15"/>
        <w:tabs>
          <w:tab w:val="left" w:pos="0"/>
        </w:tabs>
        <w:spacing w:before="0" w:line="360" w:lineRule="auto"/>
        <w:ind w:left="5"/>
        <w:rPr>
          <w:rFonts w:hint="eastAsia" w:ascii="宋体" w:hAnsi="宋体" w:cs="宋体"/>
          <w:kern w:val="2"/>
          <w:lang w:val="en-US" w:eastAsia="zh-CN"/>
        </w:rPr>
      </w:pPr>
      <w:bookmarkStart w:id="5" w:name="_Toc163812728"/>
      <w:bookmarkStart w:id="6" w:name="_Toc163574045"/>
      <w:bookmarkStart w:id="7" w:name="_Toc163816231"/>
      <w:r>
        <w:rPr>
          <w:rFonts w:hint="eastAsia" w:ascii="宋体" w:hAnsi="宋体" w:cs="宋体"/>
          <w:kern w:val="2"/>
          <w:lang w:val="en-US" w:eastAsia="zh-CN"/>
        </w:rPr>
        <w:t>2.4.2地质条件</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场地受区域构造影响，岩性以砂岩、泥岩、灰岩为主，岩体风化破碎。区域抗震设防烈度为6度；地震动峰值加速度值为0.05g，地震动反映谱特征周期值为0.35s。场地土类型综合为中软场地土，覆盖层厚度为3～50米，故判定建筑场地类别为Ⅱ类。</w:t>
      </w:r>
      <w:bookmarkEnd w:id="5"/>
      <w:bookmarkEnd w:id="6"/>
      <w:bookmarkEnd w:id="7"/>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2.4.3气象情况</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1） 气压</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年平均大气压101.42kPa</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2）气温</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eastAsia="宋体" w:cs="宋体"/>
          <w:kern w:val="2"/>
          <w:sz w:val="24"/>
          <w:szCs w:val="24"/>
          <w:lang w:val="en-US" w:eastAsia="zh-CN" w:bidi="ar-SA"/>
        </w:rPr>
        <w:pict>
          <v:shape id="_x0000_s1025" o:spid="_x0000_s1025" o:spt="75" type="#_x0000_t75" style="position:absolute;left:0pt;margin-left:249pt;margin-top:8.25pt;height:89.7pt;width:86.65pt;z-index:251659264;mso-width-relative:page;mso-height-relative:page;" o:ole="t" fillcolor="#FFFFFF" filled="f" o:preferrelative="t" stroked="f" coordsize="21600,21600">
            <v:path/>
            <v:fill on="f" color2="#FFFFFF" focussize="0,0"/>
            <v:stroke on="f"/>
            <v:imagedata r:id="rId8" cropleft="12743f" croptop="18842f" cropright="35271f" cropbottom="9011f" gain="65536f" blacklevel="0f" gamma="0" o:title=""/>
            <o:lock v:ext="edit" position="f" selection="f" grouping="f" rotation="f" cropping="f" text="f" aspectratio="t"/>
          </v:shape>
          <o:OLEObject Type="Embed" ProgID="" ShapeID="_x0000_s1025" DrawAspect="Content" ObjectID="_1468075725" r:id="rId7">
            <o:LockedField>false</o:LockedField>
          </o:OLEObject>
        </w:pict>
      </w:r>
      <w:r>
        <w:rPr>
          <w:rFonts w:hint="eastAsia" w:ascii="宋体" w:hAnsi="宋体" w:cs="宋体"/>
          <w:kern w:val="2"/>
          <w:lang w:val="en-US" w:eastAsia="zh-CN"/>
        </w:rPr>
        <w:t>历年平均气温为     16℃</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月平均最高气温为 31.3℃</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月平均最低气温为 -3.9℃</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极端最高气温为   39.5℃</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极端最低气温为    -13℃</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3）风向及风速</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最大风速为28m/s</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平均风速为2.4 m/s</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年主导风向为东北风。风玫瑰右图示。</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4） 降雨量</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历年平均降雨量 1204.27mm</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最大年降雨量    1906.5mm</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最小年降雨量     565.7mm</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日最大降雨量       233mm</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5） 湿度</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历年相对平均湿度： 79%</w:t>
      </w:r>
    </w:p>
    <w:p>
      <w:pPr>
        <w:pStyle w:val="15"/>
        <w:tabs>
          <w:tab w:val="left" w:pos="0"/>
        </w:tabs>
        <w:spacing w:before="0" w:line="360" w:lineRule="auto"/>
        <w:ind w:left="5"/>
        <w:rPr>
          <w:rFonts w:hint="eastAsia" w:ascii="宋体" w:hAnsi="宋体" w:cs="宋体"/>
          <w:kern w:val="2"/>
          <w:lang w:val="en-US" w:eastAsia="zh-CN"/>
        </w:rPr>
      </w:pPr>
      <w:r>
        <w:rPr>
          <w:rFonts w:hint="eastAsia" w:ascii="宋体" w:hAnsi="宋体" w:cs="宋体"/>
          <w:kern w:val="2"/>
          <w:lang w:val="en-US" w:eastAsia="zh-CN"/>
        </w:rPr>
        <w:t>最小平均湿度：     14%</w:t>
      </w:r>
    </w:p>
    <w:p>
      <w:pPr>
        <w:spacing w:beforeLines="50" w:after="0"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三、项目建设内容：</w:t>
      </w:r>
    </w:p>
    <w:p>
      <w:pPr>
        <w:pStyle w:val="15"/>
        <w:tabs>
          <w:tab w:val="left" w:pos="0"/>
        </w:tabs>
        <w:spacing w:before="0" w:line="360" w:lineRule="auto"/>
        <w:ind w:left="5" w:firstLine="480" w:firstLineChars="200"/>
        <w:rPr>
          <w:rFonts w:hint="eastAsia" w:ascii="宋体" w:hAnsi="宋体" w:cs="宋体"/>
          <w:color w:val="auto"/>
          <w:kern w:val="2"/>
          <w:lang w:eastAsia="zh-CN"/>
        </w:rPr>
      </w:pPr>
      <w:r>
        <w:rPr>
          <w:rFonts w:hint="eastAsia"/>
          <w:color w:val="auto"/>
          <w:szCs w:val="21"/>
        </w:rPr>
        <w:t>本次招标范围为以总承包（EPC）方式建设一套上升管余热回收系统，总承包</w:t>
      </w:r>
      <w:r>
        <w:rPr>
          <w:rFonts w:hint="eastAsia" w:ascii="Times New Roman" w:hAnsi="Times New Roman" w:eastAsia="宋体" w:cs="Times New Roman"/>
          <w:color w:val="auto"/>
          <w:szCs w:val="21"/>
        </w:rPr>
        <w:t>范围</w:t>
      </w:r>
      <w:bookmarkStart w:id="8" w:name="_Toc528265298"/>
      <w:bookmarkStart w:id="9" w:name="_Toc528265478"/>
      <w:r>
        <w:rPr>
          <w:rFonts w:hint="eastAsia" w:ascii="Times New Roman" w:hAnsi="Times New Roman" w:eastAsia="宋体" w:cs="Times New Roman"/>
          <w:color w:val="auto"/>
          <w:szCs w:val="21"/>
          <w:lang w:val="en-US" w:eastAsia="zh-CN"/>
        </w:rPr>
        <w:t>从</w:t>
      </w:r>
      <w:r>
        <w:rPr>
          <w:rFonts w:hint="eastAsia" w:ascii="Times New Roman" w:hAnsi="Times New Roman" w:eastAsia="宋体" w:cs="Times New Roman"/>
          <w:color w:val="auto"/>
          <w:szCs w:val="21"/>
        </w:rPr>
        <w:t>上升管余热回收系统生产</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2.0MPa</w:t>
      </w:r>
      <w:r>
        <w:rPr>
          <w:rFonts w:hint="eastAsia" w:ascii="Times New Roman" w:hAnsi="Times New Roman" w:eastAsia="宋体" w:cs="Times New Roman"/>
          <w:color w:val="auto"/>
          <w:szCs w:val="21"/>
        </w:rPr>
        <w:t>饱和蒸汽，配套建设</w:t>
      </w:r>
      <w:r>
        <w:rPr>
          <w:rFonts w:hint="eastAsia" w:ascii="Times New Roman" w:hAnsi="Times New Roman" w:eastAsia="宋体" w:cs="Times New Roman"/>
          <w:color w:val="auto"/>
          <w:szCs w:val="21"/>
          <w:lang w:val="en-US" w:eastAsia="zh-CN"/>
        </w:rPr>
        <w:t>一期58</w:t>
      </w:r>
      <w:r>
        <w:rPr>
          <w:rFonts w:hint="eastAsia" w:ascii="Times New Roman" w:hAnsi="Times New Roman" w:cs="Times New Roman"/>
          <w:color w:val="auto"/>
          <w:szCs w:val="21"/>
          <w:lang w:val="en-US" w:eastAsia="zh-CN"/>
        </w:rPr>
        <w:t>孔</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1#焦炉）</w:t>
      </w:r>
      <w:r>
        <w:rPr>
          <w:rFonts w:hint="eastAsia" w:ascii="Times New Roman" w:hAnsi="Times New Roman" w:eastAsia="宋体" w:cs="Times New Roman"/>
          <w:color w:val="auto"/>
          <w:szCs w:val="21"/>
        </w:rPr>
        <w:t>上升管换热器</w:t>
      </w:r>
      <w:r>
        <w:rPr>
          <w:rFonts w:hint="eastAsia" w:ascii="Times New Roman" w:hAnsi="Times New Roman" w:cs="Times New Roman"/>
          <w:color w:val="auto"/>
          <w:szCs w:val="21"/>
          <w:lang w:eastAsia="zh-CN"/>
        </w:rPr>
        <w:t>、</w:t>
      </w:r>
      <w:r>
        <w:rPr>
          <w:rFonts w:hint="eastAsia" w:ascii="Times New Roman" w:hAnsi="Times New Roman" w:eastAsia="宋体" w:cs="Times New Roman"/>
          <w:color w:val="auto"/>
          <w:szCs w:val="21"/>
        </w:rPr>
        <w:t>汽包及配套公辅设施</w:t>
      </w:r>
      <w:bookmarkEnd w:id="8"/>
      <w:bookmarkEnd w:id="9"/>
      <w:r>
        <w:rPr>
          <w:rFonts w:hint="eastAsia" w:ascii="Times New Roman" w:hAnsi="Times New Roman" w:eastAsia="宋体" w:cs="Times New Roman"/>
          <w:color w:val="auto"/>
          <w:szCs w:val="21"/>
        </w:rPr>
        <w:t>，</w:t>
      </w:r>
      <w:r>
        <w:rPr>
          <w:rFonts w:hint="eastAsia"/>
          <w:color w:val="auto"/>
          <w:szCs w:val="21"/>
        </w:rPr>
        <w:t>包括焦炉上升管余热回收系统及配套设施的设计、设备成套与采购、现有上升管的拆除</w:t>
      </w:r>
      <w:r>
        <w:rPr>
          <w:rFonts w:hint="eastAsia"/>
          <w:color w:val="auto"/>
          <w:szCs w:val="21"/>
          <w:lang w:eastAsia="zh-CN"/>
        </w:rPr>
        <w:t>、改造</w:t>
      </w:r>
      <w:r>
        <w:rPr>
          <w:rFonts w:hint="eastAsia"/>
          <w:color w:val="auto"/>
          <w:szCs w:val="21"/>
        </w:rPr>
        <w:t>、</w:t>
      </w:r>
      <w:r>
        <w:rPr>
          <w:rFonts w:hint="eastAsia"/>
          <w:color w:val="auto"/>
          <w:szCs w:val="21"/>
          <w:lang w:val="en-US" w:eastAsia="zh-CN"/>
        </w:rPr>
        <w:t>土建及</w:t>
      </w:r>
      <w:r>
        <w:rPr>
          <w:rFonts w:hint="eastAsia"/>
          <w:color w:val="auto"/>
          <w:szCs w:val="21"/>
        </w:rPr>
        <w:t>安装施工、系统调试、竣工验收、培训与售后服务等全过程的交钥匙总承包工程。</w:t>
      </w:r>
      <w:r>
        <w:rPr>
          <w:rFonts w:hint="eastAsia" w:ascii="Times New Roman" w:hAnsi="Times New Roman" w:cs="Times New Roman"/>
          <w:lang w:eastAsia="zh-CN" w:bidi="en-US"/>
        </w:rPr>
        <w:t>投标方</w:t>
      </w:r>
      <w:r>
        <w:rPr>
          <w:rFonts w:ascii="Times New Roman" w:hAnsi="Times New Roman" w:cs="Times New Roman"/>
          <w:lang w:bidi="en-US"/>
        </w:rPr>
        <w:t>对整套系统的完整性负责</w:t>
      </w:r>
      <w:r>
        <w:rPr>
          <w:rFonts w:hint="eastAsia" w:ascii="Times New Roman" w:hAnsi="Times New Roman" w:cs="Times New Roman"/>
          <w:lang w:eastAsia="zh-CN" w:bidi="en-US"/>
        </w:rPr>
        <w:t>，</w:t>
      </w:r>
      <w:r>
        <w:rPr>
          <w:rFonts w:ascii="Times New Roman" w:hAnsi="Times New Roman" w:cs="Times New Roman"/>
          <w:lang w:bidi="en-US"/>
        </w:rPr>
        <w:t>按照中标设计方案进行的从土建到投产全部施工</w:t>
      </w:r>
      <w:r>
        <w:rPr>
          <w:rFonts w:hint="eastAsia" w:ascii="宋体" w:hAnsi="宋体" w:cs="宋体"/>
          <w:color w:val="auto"/>
          <w:kern w:val="2"/>
          <w:lang w:eastAsia="zh-CN"/>
        </w:rPr>
        <w:t>。工程范围内的主要设备包括焦炉上升管换热系统及自动控制系统等。</w:t>
      </w:r>
    </w:p>
    <w:p>
      <w:pPr>
        <w:pStyle w:val="15"/>
        <w:tabs>
          <w:tab w:val="left" w:pos="0"/>
        </w:tabs>
        <w:spacing w:before="0" w:line="360" w:lineRule="auto"/>
        <w:ind w:left="5" w:firstLine="480" w:firstLineChars="200"/>
        <w:rPr>
          <w:rFonts w:hint="eastAsia" w:ascii="宋体" w:hAnsi="宋体" w:cs="宋体"/>
          <w:color w:val="auto"/>
          <w:kern w:val="2"/>
          <w:lang w:val="en-US" w:eastAsia="zh-CN"/>
        </w:rPr>
      </w:pPr>
      <w:r>
        <w:rPr>
          <w:rFonts w:hint="eastAsia" w:ascii="宋体" w:hAnsi="宋体" w:cs="宋体"/>
          <w:color w:val="auto"/>
          <w:kern w:val="2"/>
          <w:lang w:eastAsia="zh-CN"/>
        </w:rPr>
        <w:t>工程包括以下内容：所有工艺设计、施工图设计、成套设备供货、材料供货、设备安装、单体试车、联动试车、热负荷试车指导、保产达标指导、技术文件、软件编制和相关技术服务等全过程工作。总包方对该工程的质量、工期全面负责，并对该工程技术和工艺（含控制）的先进性、完整性、可靠性、适用性全面负责。</w:t>
      </w:r>
    </w:p>
    <w:p>
      <w:pPr>
        <w:spacing w:beforeLines="50" w:after="0"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、设计条件及要求</w:t>
      </w:r>
    </w:p>
    <w:p>
      <w:pPr>
        <w:spacing w:after="0" w:line="360" w:lineRule="auto"/>
        <w:rPr>
          <w:rFonts w:ascii="宋体" w:hAnsi="宋体" w:eastAsia="宋体" w:cs="宋体"/>
          <w:b/>
          <w:bCs/>
          <w:color w:val="000000"/>
          <w:sz w:val="24"/>
          <w:szCs w:val="24"/>
        </w:rPr>
      </w:pPr>
    </w:p>
    <w:p>
      <w:pPr>
        <w:numPr>
          <w:ilvl w:val="0"/>
          <w:numId w:val="2"/>
        </w:numPr>
        <w:tabs>
          <w:tab w:val="left" w:pos="312"/>
        </w:tabs>
        <w:spacing w:after="0"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lang w:val="en-US" w:eastAsia="zh-CN"/>
        </w:rPr>
        <w:t>上升管余热回收建设数量：</w:t>
      </w:r>
      <w:r>
        <w:rPr>
          <w:rFonts w:hint="default" w:ascii="宋体" w:hAnsi="宋体" w:eastAsia="宋体" w:cs="宋体"/>
          <w:bCs/>
          <w:sz w:val="24"/>
          <w:szCs w:val="24"/>
          <w:lang w:val="en-US" w:eastAsia="zh-CN"/>
        </w:rPr>
        <w:t>先对</w:t>
      </w:r>
      <w:r>
        <w:rPr>
          <w:rFonts w:hint="eastAsia" w:ascii="宋体" w:hAnsi="宋体" w:eastAsia="宋体" w:cs="宋体"/>
          <w:bCs/>
          <w:sz w:val="24"/>
          <w:szCs w:val="24"/>
          <w:lang w:val="en-US" w:eastAsia="zh-CN"/>
        </w:rPr>
        <w:t>1#</w:t>
      </w:r>
      <w:r>
        <w:rPr>
          <w:rFonts w:hint="default" w:ascii="宋体" w:hAnsi="宋体" w:eastAsia="宋体" w:cs="宋体"/>
          <w:bCs/>
          <w:sz w:val="24"/>
          <w:szCs w:val="24"/>
          <w:lang w:val="en-US" w:eastAsia="zh-CN"/>
        </w:rPr>
        <w:t>焦炉</w:t>
      </w:r>
      <w:r>
        <w:rPr>
          <w:rFonts w:hint="eastAsia" w:ascii="宋体" w:hAnsi="宋体" w:eastAsia="宋体" w:cs="宋体"/>
          <w:bCs/>
          <w:sz w:val="24"/>
          <w:szCs w:val="24"/>
          <w:lang w:val="en-US" w:eastAsia="zh-CN"/>
        </w:rPr>
        <w:t>共58孔</w:t>
      </w:r>
      <w:r>
        <w:rPr>
          <w:rFonts w:hint="default" w:ascii="宋体" w:hAnsi="宋体" w:eastAsia="宋体" w:cs="宋体"/>
          <w:bCs/>
          <w:sz w:val="24"/>
          <w:szCs w:val="24"/>
          <w:lang w:val="en-US" w:eastAsia="zh-CN"/>
        </w:rPr>
        <w:t>开展</w:t>
      </w:r>
      <w:r>
        <w:rPr>
          <w:rFonts w:hint="eastAsia" w:ascii="宋体" w:hAnsi="宋体" w:eastAsia="宋体" w:cs="宋体"/>
          <w:bCs/>
          <w:sz w:val="24"/>
          <w:szCs w:val="24"/>
          <w:lang w:val="en-US" w:eastAsia="zh-CN"/>
        </w:rPr>
        <w:t>上升管余热回收</w:t>
      </w:r>
      <w:r>
        <w:rPr>
          <w:rFonts w:hint="default" w:ascii="宋体" w:hAnsi="宋体" w:eastAsia="宋体" w:cs="宋体"/>
          <w:bCs/>
          <w:sz w:val="24"/>
          <w:szCs w:val="24"/>
          <w:lang w:val="en-US" w:eastAsia="zh-CN"/>
        </w:rPr>
        <w:t>建设</w:t>
      </w:r>
      <w:r>
        <w:rPr>
          <w:rFonts w:hint="eastAsia" w:ascii="宋体" w:hAnsi="宋体" w:eastAsia="宋体" w:cs="宋体"/>
          <w:bCs/>
          <w:sz w:val="24"/>
          <w:szCs w:val="24"/>
          <w:lang w:val="en-US" w:eastAsia="zh-CN"/>
        </w:rPr>
        <w:t>，</w:t>
      </w:r>
      <w:r>
        <w:rPr>
          <w:rFonts w:hint="default" w:ascii="宋体" w:hAnsi="宋体" w:eastAsia="宋体" w:cs="宋体"/>
          <w:bCs/>
          <w:sz w:val="24"/>
          <w:szCs w:val="24"/>
          <w:lang w:val="en-US" w:eastAsia="zh-CN"/>
        </w:rPr>
        <w:t>公辅系统</w:t>
      </w:r>
      <w:r>
        <w:rPr>
          <w:rFonts w:hint="eastAsia" w:ascii="宋体" w:hAnsi="宋体" w:eastAsia="宋体" w:cs="宋体"/>
          <w:bCs/>
          <w:sz w:val="24"/>
          <w:szCs w:val="24"/>
          <w:lang w:val="en-US" w:eastAsia="zh-CN"/>
        </w:rPr>
        <w:t>（电控、管网系统、支架、电缆桥架、介质循环系统等）</w:t>
      </w:r>
      <w:r>
        <w:rPr>
          <w:rFonts w:hint="default" w:ascii="宋体" w:hAnsi="宋体" w:eastAsia="宋体" w:cs="宋体"/>
          <w:bCs/>
          <w:sz w:val="24"/>
          <w:szCs w:val="24"/>
          <w:lang w:val="en-US" w:eastAsia="zh-CN"/>
        </w:rPr>
        <w:t>按照两座焦炉</w:t>
      </w:r>
      <w:r>
        <w:rPr>
          <w:rFonts w:hint="eastAsia" w:ascii="宋体" w:hAnsi="宋体" w:eastAsia="宋体" w:cs="宋体"/>
          <w:bCs/>
          <w:sz w:val="24"/>
          <w:szCs w:val="24"/>
          <w:lang w:val="en-US" w:eastAsia="zh-CN"/>
        </w:rPr>
        <w:t>规划、</w:t>
      </w:r>
      <w:r>
        <w:rPr>
          <w:rFonts w:hint="default" w:ascii="宋体" w:hAnsi="宋体" w:eastAsia="宋体" w:cs="宋体"/>
          <w:bCs/>
          <w:sz w:val="24"/>
          <w:szCs w:val="24"/>
          <w:lang w:val="en-US" w:eastAsia="zh-CN"/>
        </w:rPr>
        <w:t>建设。</w:t>
      </w:r>
      <w:r>
        <w:rPr>
          <w:rFonts w:hint="eastAsia" w:ascii="宋体" w:hAnsi="宋体" w:eastAsia="宋体" w:cs="宋体"/>
          <w:bCs/>
          <w:sz w:val="24"/>
          <w:szCs w:val="24"/>
          <w:highlight w:val="none"/>
          <w:lang w:val="en-US" w:eastAsia="zh-CN"/>
        </w:rPr>
        <w:t>本工程设计供货要考虑二期58组上升管余热利用项目建设情况，二期58组上升管余热利用项目工程建设仅需新上上升管换热器</w:t>
      </w:r>
      <w:r>
        <w:rPr>
          <w:rFonts w:hint="eastAsia" w:ascii="宋体" w:hAnsi="宋体" w:eastAsia="宋体" w:cs="宋体"/>
          <w:bCs/>
          <w:sz w:val="24"/>
          <w:szCs w:val="24"/>
          <w:highlight w:val="none"/>
          <w:lang w:eastAsia="zh-CN"/>
        </w:rPr>
        <w:t>及其附属的管道、阀门、</w:t>
      </w:r>
      <w:r>
        <w:rPr>
          <w:rFonts w:hint="eastAsia" w:ascii="宋体" w:hAnsi="宋体" w:eastAsia="宋体" w:cs="宋体"/>
          <w:bCs/>
          <w:sz w:val="24"/>
          <w:szCs w:val="24"/>
          <w:highlight w:val="none"/>
          <w:lang w:val="en-US" w:eastAsia="zh-CN"/>
        </w:rPr>
        <w:t>电气自动化设备、仪表、电缆、</w:t>
      </w:r>
      <w:r>
        <w:rPr>
          <w:rFonts w:hint="eastAsia" w:ascii="宋体" w:hAnsi="宋体" w:eastAsia="宋体" w:cs="宋体"/>
          <w:bCs/>
          <w:sz w:val="24"/>
          <w:szCs w:val="24"/>
          <w:highlight w:val="none"/>
          <w:lang w:eastAsia="zh-CN"/>
        </w:rPr>
        <w:t>安全附件等，</w:t>
      </w:r>
      <w:r>
        <w:rPr>
          <w:rFonts w:hint="eastAsia" w:ascii="宋体" w:hAnsi="宋体" w:eastAsia="宋体" w:cs="宋体"/>
          <w:bCs/>
          <w:sz w:val="24"/>
          <w:szCs w:val="24"/>
          <w:highlight w:val="none"/>
          <w:lang w:val="en-US" w:eastAsia="zh-CN"/>
        </w:rPr>
        <w:t>可直接与一期系统连接使用，汽包、除氧器、水泵设备等都不再新购，设计考虑二期电气自动化设备位置，桥架设计供货考虑二期电缆布置。</w:t>
      </w:r>
    </w:p>
    <w:p>
      <w:pPr>
        <w:numPr>
          <w:ilvl w:val="0"/>
          <w:numId w:val="2"/>
        </w:numPr>
        <w:tabs>
          <w:tab w:val="left" w:pos="312"/>
        </w:tabs>
        <w:spacing w:after="0" w:line="360" w:lineRule="auto"/>
        <w:rPr>
          <w:rFonts w:ascii="宋体" w:hAnsi="宋体" w:eastAsia="宋体" w:cs="宋体"/>
          <w:bCs/>
          <w:sz w:val="24"/>
          <w:szCs w:val="24"/>
        </w:rPr>
      </w:pPr>
      <w:r>
        <w:rPr>
          <w:rFonts w:hint="eastAsia" w:ascii="宋体" w:hAnsi="宋体" w:eastAsia="宋体" w:cs="宋体"/>
          <w:bCs/>
          <w:sz w:val="24"/>
          <w:szCs w:val="24"/>
          <w:lang w:eastAsia="zh-CN"/>
        </w:rPr>
        <w:t>操作时间：</w:t>
      </w:r>
      <w:r>
        <w:rPr>
          <w:rFonts w:hint="eastAsia" w:ascii="宋体" w:hAnsi="宋体" w:eastAsia="宋体" w:cs="宋体"/>
          <w:bCs/>
          <w:sz w:val="24"/>
          <w:szCs w:val="24"/>
          <w:lang w:val="en-US" w:eastAsia="zh-CN"/>
        </w:rPr>
        <w:t>8760小时</w:t>
      </w:r>
    </w:p>
    <w:p>
      <w:pPr>
        <w:numPr>
          <w:ilvl w:val="0"/>
          <w:numId w:val="2"/>
        </w:numPr>
        <w:tabs>
          <w:tab w:val="left" w:pos="312"/>
        </w:tabs>
        <w:spacing w:after="0" w:line="360" w:lineRule="auto"/>
        <w:rPr>
          <w:rFonts w:ascii="宋体" w:hAnsi="宋体" w:eastAsia="宋体" w:cs="宋体"/>
          <w:bCs/>
          <w:sz w:val="24"/>
          <w:szCs w:val="24"/>
        </w:rPr>
      </w:pPr>
      <w:r>
        <w:rPr>
          <w:rFonts w:hint="eastAsia" w:ascii="宋体" w:hAnsi="宋体" w:eastAsia="宋体" w:cs="宋体"/>
          <w:bCs/>
          <w:sz w:val="24"/>
          <w:szCs w:val="24"/>
          <w:lang w:eastAsia="zh-CN"/>
        </w:rPr>
        <w:t>余热回收换热器结构形式：外盘管式</w:t>
      </w:r>
    </w:p>
    <w:p>
      <w:pPr>
        <w:numPr>
          <w:ilvl w:val="0"/>
          <w:numId w:val="2"/>
        </w:numPr>
        <w:tabs>
          <w:tab w:val="left" w:pos="312"/>
        </w:tabs>
        <w:spacing w:after="0"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highlight w:val="none"/>
          <w:lang w:eastAsia="zh-CN"/>
        </w:rPr>
        <w:t>余热回收后产生≥</w:t>
      </w:r>
      <w:r>
        <w:rPr>
          <w:rFonts w:hint="eastAsia" w:ascii="宋体" w:hAnsi="宋体" w:eastAsia="宋体" w:cs="宋体"/>
          <w:bCs/>
          <w:color w:val="auto"/>
          <w:sz w:val="24"/>
          <w:szCs w:val="24"/>
          <w:highlight w:val="none"/>
          <w:lang w:eastAsia="zh-CN"/>
        </w:rPr>
        <w:t>2.0M</w:t>
      </w:r>
      <w:r>
        <w:rPr>
          <w:rFonts w:hint="eastAsia" w:ascii="宋体" w:hAnsi="宋体" w:eastAsia="宋体" w:cs="宋体"/>
          <w:bCs/>
          <w:sz w:val="24"/>
          <w:szCs w:val="24"/>
          <w:highlight w:val="none"/>
          <w:lang w:eastAsia="zh-CN"/>
        </w:rPr>
        <w:t>Pa饱和蒸汽减压后并入厂区</w:t>
      </w:r>
      <w:r>
        <w:rPr>
          <w:rFonts w:hint="eastAsia" w:ascii="宋体" w:hAnsi="宋体" w:eastAsia="宋体" w:cs="宋体"/>
          <w:bCs/>
          <w:sz w:val="24"/>
          <w:szCs w:val="24"/>
          <w:lang w:eastAsia="zh-CN"/>
        </w:rPr>
        <w:t>厂区低压蒸汽管网，具体</w:t>
      </w:r>
      <w:r>
        <w:rPr>
          <w:rFonts w:hint="eastAsia" w:ascii="宋体" w:hAnsi="宋体" w:eastAsia="宋体" w:cs="宋体"/>
          <w:bCs/>
          <w:sz w:val="24"/>
          <w:szCs w:val="24"/>
          <w:lang w:val="en-US" w:eastAsia="zh-CN"/>
        </w:rPr>
        <w:t>接口</w:t>
      </w:r>
      <w:r>
        <w:rPr>
          <w:rFonts w:hint="eastAsia" w:ascii="宋体" w:hAnsi="宋体" w:eastAsia="宋体" w:cs="宋体"/>
          <w:bCs/>
          <w:sz w:val="24"/>
          <w:szCs w:val="24"/>
          <w:lang w:eastAsia="zh-CN"/>
        </w:rPr>
        <w:t>由招标方指定，</w:t>
      </w:r>
      <w:r>
        <w:rPr>
          <w:rFonts w:hint="eastAsia" w:ascii="宋体" w:hAnsi="宋体" w:eastAsia="宋体" w:cs="宋体"/>
          <w:bCs/>
          <w:sz w:val="24"/>
          <w:szCs w:val="24"/>
          <w:highlight w:val="none"/>
          <w:lang w:val="en-US" w:eastAsia="zh-CN"/>
        </w:rPr>
        <w:t>投</w:t>
      </w:r>
      <w:r>
        <w:rPr>
          <w:rFonts w:hint="eastAsia" w:ascii="宋体" w:hAnsi="宋体" w:eastAsia="宋体" w:cs="宋体"/>
          <w:bCs/>
          <w:sz w:val="24"/>
          <w:szCs w:val="24"/>
          <w:highlight w:val="none"/>
          <w:lang w:eastAsia="zh-CN"/>
        </w:rPr>
        <w:t>标方负责</w:t>
      </w:r>
      <w:r>
        <w:rPr>
          <w:rFonts w:hint="eastAsia" w:ascii="宋体" w:hAnsi="宋体" w:eastAsia="宋体" w:cs="宋体"/>
          <w:bCs/>
          <w:sz w:val="24"/>
          <w:szCs w:val="24"/>
          <w:highlight w:val="none"/>
          <w:lang w:val="en-US" w:eastAsia="zh-CN"/>
        </w:rPr>
        <w:t>带压</w:t>
      </w:r>
      <w:r>
        <w:rPr>
          <w:rFonts w:hint="eastAsia" w:ascii="宋体" w:hAnsi="宋体" w:eastAsia="宋体" w:cs="宋体"/>
          <w:bCs/>
          <w:sz w:val="24"/>
          <w:szCs w:val="24"/>
          <w:highlight w:val="none"/>
          <w:lang w:eastAsia="zh-CN"/>
        </w:rPr>
        <w:t>开口及阀门、管道等的提供和安装</w:t>
      </w:r>
      <w:r>
        <w:rPr>
          <w:rFonts w:hint="eastAsia" w:ascii="宋体" w:hAnsi="宋体" w:eastAsia="宋体" w:cs="宋体"/>
          <w:bCs/>
          <w:sz w:val="24"/>
          <w:szCs w:val="24"/>
          <w:lang w:eastAsia="zh-CN"/>
        </w:rPr>
        <w:t>。</w:t>
      </w:r>
    </w:p>
    <w:p>
      <w:pPr>
        <w:numPr>
          <w:ilvl w:val="0"/>
          <w:numId w:val="2"/>
        </w:numPr>
        <w:tabs>
          <w:tab w:val="left" w:pos="312"/>
        </w:tabs>
        <w:spacing w:after="0" w:line="360" w:lineRule="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上升管余热回收项目预留过热蒸汽接口</w:t>
      </w:r>
      <w:r>
        <w:rPr>
          <w:rFonts w:hint="eastAsia" w:ascii="宋体" w:hAnsi="宋体" w:eastAsia="宋体" w:cs="宋体"/>
          <w:bCs/>
          <w:sz w:val="24"/>
          <w:szCs w:val="24"/>
          <w:highlight w:val="none"/>
          <w:lang w:val="en-US" w:eastAsia="zh-CN"/>
        </w:rPr>
        <w:t>（接阀门及配带双法兰和紧固件）</w:t>
      </w:r>
      <w:r>
        <w:rPr>
          <w:rFonts w:hint="default" w:ascii="宋体" w:hAnsi="宋体" w:eastAsia="宋体" w:cs="宋体"/>
          <w:bCs/>
          <w:sz w:val="24"/>
          <w:szCs w:val="24"/>
          <w:highlight w:val="none"/>
          <w:lang w:val="en-US" w:eastAsia="zh-CN"/>
        </w:rPr>
        <w:t>，为以后替代粗苯管式炉做好准备</w:t>
      </w:r>
      <w:r>
        <w:rPr>
          <w:rFonts w:hint="eastAsia" w:ascii="宋体" w:hAnsi="宋体" w:eastAsia="宋体" w:cs="宋体"/>
          <w:bCs/>
          <w:sz w:val="24"/>
          <w:szCs w:val="24"/>
          <w:highlight w:val="none"/>
          <w:lang w:val="en-US" w:eastAsia="zh-CN"/>
        </w:rPr>
        <w:t>，粗苯化产所需蒸汽量如上表所述。</w:t>
      </w:r>
    </w:p>
    <w:p>
      <w:pPr>
        <w:numPr>
          <w:ilvl w:val="0"/>
          <w:numId w:val="2"/>
        </w:numPr>
        <w:tabs>
          <w:tab w:val="left" w:pos="312"/>
        </w:tabs>
        <w:spacing w:after="0" w:line="360" w:lineRule="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本余热利用系统主要包括：</w:t>
      </w:r>
      <w:r>
        <w:rPr>
          <w:rFonts w:hint="eastAsia" w:ascii="宋体" w:hAnsi="宋体" w:eastAsia="宋体" w:cs="宋体"/>
          <w:bCs/>
          <w:sz w:val="24"/>
          <w:szCs w:val="24"/>
          <w:highlight w:val="none"/>
          <w:lang w:val="en-US" w:eastAsia="zh-CN"/>
        </w:rPr>
        <w:t>上升管底座、上升管水封等装置、</w:t>
      </w:r>
      <w:r>
        <w:rPr>
          <w:rFonts w:hint="default" w:ascii="宋体" w:hAnsi="宋体" w:eastAsia="宋体" w:cs="宋体"/>
          <w:bCs/>
          <w:sz w:val="24"/>
          <w:szCs w:val="24"/>
          <w:lang w:val="en-US" w:eastAsia="zh-CN"/>
        </w:rPr>
        <w:t>上升管换热器</w:t>
      </w:r>
      <w:r>
        <w:rPr>
          <w:rFonts w:hint="eastAsia" w:ascii="宋体" w:hAnsi="宋体" w:eastAsia="宋体" w:cs="宋体"/>
          <w:bCs/>
          <w:sz w:val="24"/>
          <w:szCs w:val="24"/>
          <w:lang w:val="en-US" w:eastAsia="zh-CN"/>
        </w:rPr>
        <w:t>（上升管蒸发器、上升管过热器）</w:t>
      </w:r>
      <w:r>
        <w:rPr>
          <w:rFonts w:hint="default" w:ascii="宋体" w:hAnsi="宋体" w:eastAsia="宋体" w:cs="宋体"/>
          <w:bCs/>
          <w:sz w:val="24"/>
          <w:szCs w:val="24"/>
          <w:lang w:val="en-US" w:eastAsia="zh-CN"/>
        </w:rPr>
        <w:t>、汽水系统、电气系统、自动控制系统、设备操作平台爬梯、保温</w:t>
      </w:r>
      <w:r>
        <w:rPr>
          <w:rFonts w:hint="eastAsia" w:ascii="宋体" w:hAnsi="宋体" w:eastAsia="宋体" w:cs="宋体"/>
          <w:bCs/>
          <w:sz w:val="24"/>
          <w:szCs w:val="24"/>
          <w:lang w:val="en-US" w:eastAsia="zh-CN"/>
        </w:rPr>
        <w:t>、</w:t>
      </w:r>
      <w:r>
        <w:rPr>
          <w:rFonts w:hint="default" w:ascii="宋体" w:hAnsi="宋体" w:eastAsia="宋体" w:cs="宋体"/>
          <w:bCs/>
          <w:sz w:val="24"/>
          <w:szCs w:val="24"/>
          <w:lang w:val="en-US" w:eastAsia="zh-CN"/>
        </w:rPr>
        <w:t>护板及防腐等。</w:t>
      </w:r>
      <w:r>
        <w:rPr>
          <w:rFonts w:hint="eastAsia" w:ascii="宋体" w:hAnsi="宋体" w:eastAsia="宋体" w:cs="宋体"/>
          <w:bCs/>
          <w:sz w:val="24"/>
          <w:szCs w:val="24"/>
          <w:lang w:val="en-US" w:eastAsia="zh-CN"/>
        </w:rPr>
        <w:t>要求投标方保证系统的完整性。</w:t>
      </w:r>
    </w:p>
    <w:p>
      <w:pPr>
        <w:numPr>
          <w:ilvl w:val="0"/>
          <w:numId w:val="2"/>
        </w:numPr>
        <w:tabs>
          <w:tab w:val="left" w:pos="312"/>
        </w:tabs>
        <w:spacing w:after="0"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两座焦炉自动化釆用独立新增系统，控制系统放置在焦化中控室，中控室增加一台工控机，要求16G内存，固态硬盘500G，显示屏24寸，可实现系统参数的修改和设置，也可以对单独设备的控制。</w:t>
      </w:r>
    </w:p>
    <w:p>
      <w:pPr>
        <w:numPr>
          <w:ilvl w:val="0"/>
          <w:numId w:val="2"/>
        </w:numPr>
        <w:tabs>
          <w:tab w:val="left" w:pos="312"/>
        </w:tabs>
        <w:spacing w:after="0"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两座焦炉自控系统采用一套单独控制系统，本电气设计包括余热回收界区内低压动力配电系统、照明系统、防雷接地系统。电机采用就地及仪表间两地控制。</w:t>
      </w:r>
    </w:p>
    <w:p>
      <w:pPr>
        <w:numPr>
          <w:ilvl w:val="0"/>
          <w:numId w:val="2"/>
        </w:numPr>
        <w:tabs>
          <w:tab w:val="left" w:pos="312"/>
        </w:tabs>
        <w:spacing w:after="0"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投标方在做方案前需与招标方进行技术交流和现场勘测，以便制定出更合理的方案。开标前完成工艺布置图。</w:t>
      </w:r>
    </w:p>
    <w:p>
      <w:pPr>
        <w:pStyle w:val="2"/>
        <w:rPr>
          <w:rFonts w:hint="default"/>
          <w:lang w:val="en-US" w:eastAsia="zh-CN"/>
        </w:rPr>
      </w:pPr>
      <w:r>
        <w:rPr>
          <w:rFonts w:hint="eastAsia" w:ascii="宋体" w:hAnsi="宋体" w:eastAsia="宋体" w:cs="宋体"/>
          <w:bCs/>
          <w:kern w:val="0"/>
          <w:sz w:val="24"/>
          <w:szCs w:val="24"/>
          <w:lang w:val="en-US" w:eastAsia="zh-CN" w:bidi="ar-SA"/>
        </w:rPr>
        <w:t>10、施工过程中不能影响焦炉正常</w:t>
      </w:r>
      <w:r>
        <w:rPr>
          <w:rFonts w:hint="eastAsia" w:ascii="宋体" w:hAnsi="宋体" w:eastAsia="宋体" w:cs="宋体"/>
          <w:bCs/>
          <w:kern w:val="0"/>
          <w:sz w:val="24"/>
          <w:szCs w:val="24"/>
          <w:lang w:val="zh-CN" w:eastAsia="zh-CN" w:bidi="ar-SA"/>
        </w:rPr>
        <w:t>生产。</w:t>
      </w:r>
    </w:p>
    <w:p>
      <w:pPr>
        <w:numPr>
          <w:ilvl w:val="0"/>
          <w:numId w:val="0"/>
        </w:numPr>
        <w:tabs>
          <w:tab w:val="left" w:pos="312"/>
        </w:tabs>
        <w:spacing w:after="0" w:line="360" w:lineRule="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w:t>
      </w:r>
      <w:r>
        <w:rPr>
          <w:rFonts w:hint="default" w:ascii="宋体" w:hAnsi="宋体" w:eastAsia="宋体" w:cs="宋体"/>
          <w:b/>
          <w:bCs w:val="0"/>
          <w:sz w:val="24"/>
          <w:szCs w:val="24"/>
          <w:lang w:val="en-US" w:eastAsia="zh-CN"/>
        </w:rPr>
        <w:t>上升管余热利用系统的主要工艺流程：</w:t>
      </w:r>
    </w:p>
    <w:p>
      <w:pPr>
        <w:numPr>
          <w:ilvl w:val="0"/>
          <w:numId w:val="0"/>
        </w:numPr>
        <w:tabs>
          <w:tab w:val="left" w:pos="312"/>
        </w:tabs>
        <w:spacing w:after="0"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将1#焦炉的58孔焦炉上升管直接采用上升管蒸发器，焦炉荒煤气流过上升管蒸发器后，通过上升管蒸发器将热量传递给水汽，荒煤气温度降到约600℃后进入桥管。自界区外来的0.4～0.6Mpa除盐水，进入除盐水箱，经除盐水泵（备用一台）送入除氧器，再经过给水泵（备用一台）通过冷凝水除氧水换热器预热后打入汽包（备用一台），通过强制循环泵（备用一台）</w:t>
      </w:r>
      <w:r>
        <w:rPr>
          <w:rFonts w:hint="eastAsia" w:ascii="宋体" w:hAnsi="宋体" w:eastAsia="宋体" w:cs="宋体"/>
          <w:bCs/>
          <w:sz w:val="24"/>
          <w:szCs w:val="24"/>
          <w:highlight w:val="none"/>
          <w:lang w:val="en-US" w:eastAsia="zh-CN"/>
        </w:rPr>
        <w:t>将≥2.0MPa饱和水（215℃）打入上升管蒸发器回收荒煤气热量后回到汽包，通过汽水分离产生≥2.0MPa饱和蒸汽，一路蒸汽外送引至脱苯区预留接口（预留带双法兰和紧固件的阀门），冷凝水接入除氧器，另一路蒸汽减压进入厂区低压蒸汽管</w:t>
      </w:r>
      <w:r>
        <w:rPr>
          <w:rFonts w:hint="eastAsia" w:ascii="宋体" w:hAnsi="宋体" w:eastAsia="宋体" w:cs="宋体"/>
          <w:bCs/>
          <w:sz w:val="24"/>
          <w:szCs w:val="24"/>
          <w:lang w:val="en-US" w:eastAsia="zh-CN"/>
        </w:rPr>
        <w:t>网。</w:t>
      </w:r>
    </w:p>
    <w:p>
      <w:pPr>
        <w:spacing w:after="0"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、双方</w:t>
      </w:r>
      <w:r>
        <w:rPr>
          <w:rFonts w:hint="eastAsia" w:ascii="宋体" w:hAnsi="宋体" w:eastAsia="宋体" w:cs="宋体"/>
          <w:b/>
          <w:bCs/>
          <w:color w:val="000000"/>
          <w:sz w:val="24"/>
          <w:szCs w:val="24"/>
          <w:lang w:eastAsia="zh-CN"/>
        </w:rPr>
        <w:t>职责</w:t>
      </w:r>
      <w:r>
        <w:rPr>
          <w:rFonts w:hint="eastAsia" w:ascii="宋体" w:hAnsi="宋体" w:eastAsia="宋体" w:cs="宋体"/>
          <w:b/>
          <w:bCs/>
          <w:color w:val="000000"/>
          <w:sz w:val="24"/>
          <w:szCs w:val="24"/>
        </w:rPr>
        <w:t>及供货范围</w:t>
      </w:r>
    </w:p>
    <w:p>
      <w:pPr>
        <w:spacing w:after="0" w:line="360" w:lineRule="auto"/>
        <w:rPr>
          <w:rFonts w:ascii="宋体" w:hAnsi="宋体" w:eastAsia="宋体" w:cs="宋体"/>
          <w:b/>
          <w:color w:val="000000"/>
          <w:sz w:val="24"/>
          <w:szCs w:val="24"/>
        </w:rPr>
      </w:pPr>
      <w:r>
        <w:rPr>
          <w:rFonts w:hint="eastAsia" w:ascii="宋体" w:hAnsi="宋体" w:eastAsia="宋体" w:cs="宋体"/>
          <w:b/>
          <w:color w:val="000000"/>
          <w:sz w:val="24"/>
          <w:szCs w:val="24"/>
        </w:rPr>
        <w:t>6.1</w:t>
      </w:r>
      <w:r>
        <w:rPr>
          <w:rFonts w:hint="eastAsia" w:ascii="宋体" w:hAnsi="宋体" w:eastAsia="宋体" w:cs="宋体"/>
          <w:b/>
          <w:color w:val="000000"/>
          <w:sz w:val="24"/>
          <w:szCs w:val="24"/>
          <w:lang w:eastAsia="zh-CN"/>
        </w:rPr>
        <w:t>职责分工</w:t>
      </w:r>
    </w:p>
    <w:p>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6.1.1 投标方负责</w:t>
      </w:r>
    </w:p>
    <w:p>
      <w:pPr>
        <w:spacing w:after="0" w:line="360" w:lineRule="auto"/>
        <w:rPr>
          <w:rFonts w:ascii="宋体" w:hAnsi="宋体" w:eastAsia="宋体" w:cs="宋体"/>
          <w:color w:val="000000"/>
          <w:sz w:val="24"/>
          <w:szCs w:val="24"/>
        </w:rPr>
      </w:pPr>
      <w:r>
        <w:rPr>
          <w:rFonts w:hint="eastAsia" w:ascii="宋体" w:hAnsi="宋体" w:eastAsia="宋体"/>
          <w:color w:val="000000"/>
          <w:sz w:val="24"/>
          <w:szCs w:val="24"/>
        </w:rPr>
        <w:t>6.1.1.1投标方对</w:t>
      </w:r>
      <w:r>
        <w:rPr>
          <w:rFonts w:hint="eastAsia" w:ascii="宋体" w:hAnsi="宋体" w:eastAsia="宋体"/>
          <w:color w:val="000000"/>
          <w:sz w:val="24"/>
          <w:szCs w:val="24"/>
          <w:lang w:eastAsia="zh-CN"/>
        </w:rPr>
        <w:t>焦炉上升管余热回收项目中工艺设计、设备的</w:t>
      </w:r>
      <w:r>
        <w:rPr>
          <w:rFonts w:hint="eastAsia" w:ascii="宋体" w:hAnsi="宋体" w:eastAsia="宋体"/>
          <w:color w:val="000000"/>
          <w:sz w:val="24"/>
          <w:szCs w:val="24"/>
        </w:rPr>
        <w:t>供货、安装、调试和使用性能负责</w:t>
      </w:r>
      <w:r>
        <w:rPr>
          <w:rFonts w:hint="eastAsia" w:ascii="宋体" w:hAnsi="宋体" w:eastAsia="宋体" w:cs="宋体"/>
          <w:bCs/>
          <w:sz w:val="24"/>
        </w:rPr>
        <w:t>。该系统要求方案先进、自动化程度高、安全、环保、节能。</w:t>
      </w:r>
    </w:p>
    <w:p>
      <w:pPr>
        <w:spacing w:after="0" w:line="360" w:lineRule="auto"/>
        <w:rPr>
          <w:rFonts w:hint="eastAsia" w:ascii="宋体" w:hAnsi="宋体" w:eastAsia="宋体"/>
          <w:color w:val="000000"/>
          <w:sz w:val="24"/>
          <w:szCs w:val="24"/>
        </w:rPr>
      </w:pPr>
      <w:r>
        <w:rPr>
          <w:rFonts w:hint="eastAsia" w:ascii="宋体" w:hAnsi="宋体" w:eastAsia="宋体"/>
          <w:color w:val="000000"/>
          <w:sz w:val="24"/>
          <w:szCs w:val="24"/>
        </w:rPr>
        <w:t>6.1.1.2投标方负责提供</w:t>
      </w:r>
      <w:r>
        <w:rPr>
          <w:rFonts w:hint="eastAsia" w:ascii="宋体" w:hAnsi="宋体" w:eastAsia="宋体"/>
          <w:color w:val="000000"/>
          <w:sz w:val="24"/>
          <w:szCs w:val="24"/>
          <w:lang w:eastAsia="zh-CN"/>
        </w:rPr>
        <w:t>工艺布置图、设备安装图、</w:t>
      </w:r>
      <w:r>
        <w:rPr>
          <w:rFonts w:hint="eastAsia" w:ascii="宋体" w:hAnsi="宋体" w:eastAsia="宋体"/>
          <w:color w:val="000000"/>
          <w:sz w:val="24"/>
          <w:szCs w:val="24"/>
        </w:rPr>
        <w:t>非标备品备件的图纸、标准件的规格型号（含国标号），便于招标方采购。</w:t>
      </w:r>
    </w:p>
    <w:p>
      <w:pPr>
        <w:spacing w:after="0" w:line="360" w:lineRule="auto"/>
        <w:rPr>
          <w:rFonts w:hint="eastAsia" w:ascii="宋体" w:hAnsi="宋体" w:eastAsia="宋体" w:cs="Arial"/>
          <w:bCs/>
          <w:sz w:val="24"/>
          <w:szCs w:val="24"/>
        </w:rPr>
      </w:pPr>
      <w:r>
        <w:rPr>
          <w:rFonts w:hint="eastAsia" w:ascii="宋体" w:hAnsi="宋体" w:eastAsia="宋体" w:cs="Arial"/>
          <w:bCs/>
          <w:sz w:val="24"/>
          <w:szCs w:val="24"/>
          <w:lang w:val="en-US" w:eastAsia="zh-CN"/>
        </w:rPr>
        <w:t>6.1.1.3</w:t>
      </w:r>
      <w:r>
        <w:rPr>
          <w:rFonts w:hint="eastAsia" w:ascii="宋体" w:hAnsi="宋体" w:eastAsia="宋体" w:cs="Arial"/>
          <w:bCs/>
          <w:sz w:val="24"/>
          <w:szCs w:val="24"/>
          <w:lang w:eastAsia="zh-CN"/>
        </w:rPr>
        <w:t>投标</w:t>
      </w:r>
      <w:r>
        <w:rPr>
          <w:rFonts w:hint="eastAsia" w:ascii="宋体" w:hAnsi="宋体" w:eastAsia="宋体" w:cs="Arial"/>
          <w:bCs/>
          <w:sz w:val="24"/>
          <w:szCs w:val="24"/>
        </w:rPr>
        <w:t>方负责管道对接及计量仪表采购、安装、校对等。</w:t>
      </w:r>
    </w:p>
    <w:p>
      <w:pPr>
        <w:spacing w:after="0" w:line="360" w:lineRule="auto"/>
        <w:rPr>
          <w:rFonts w:hint="eastAsia" w:ascii="宋体" w:hAnsi="宋体" w:eastAsia="宋体" w:cs="Arial"/>
          <w:bCs/>
          <w:sz w:val="24"/>
          <w:szCs w:val="24"/>
          <w:lang w:val="en-US" w:eastAsia="zh-CN"/>
        </w:rPr>
      </w:pPr>
      <w:r>
        <w:rPr>
          <w:rFonts w:hint="eastAsia" w:ascii="宋体" w:hAnsi="宋体" w:eastAsia="宋体" w:cs="Arial"/>
          <w:bCs/>
          <w:sz w:val="24"/>
          <w:szCs w:val="24"/>
          <w:lang w:val="en-US" w:eastAsia="zh-CN"/>
        </w:rPr>
        <w:t>6.1.1.4投标方负责现场勘察和现有需改造设备设施的测量、改造。</w:t>
      </w:r>
    </w:p>
    <w:p>
      <w:pPr>
        <w:spacing w:after="0" w:line="360" w:lineRule="auto"/>
        <w:rPr>
          <w:rFonts w:hint="eastAsia" w:ascii="宋体" w:hAnsi="宋体" w:eastAsia="宋体" w:cs="Arial"/>
          <w:bCs/>
          <w:sz w:val="24"/>
          <w:szCs w:val="24"/>
          <w:lang w:val="en-US" w:eastAsia="zh-CN"/>
        </w:rPr>
      </w:pPr>
      <w:r>
        <w:rPr>
          <w:rFonts w:hint="eastAsia" w:ascii="宋体" w:hAnsi="宋体" w:eastAsia="宋体" w:cs="Arial"/>
          <w:bCs/>
          <w:sz w:val="24"/>
          <w:szCs w:val="24"/>
          <w:lang w:val="en-US" w:eastAsia="zh-CN"/>
        </w:rPr>
        <w:t>6.1.1.5投标方负责办理整套系统装置的特种设备告知办理及取安装检验监督合格证，并协助招标方到当地政府部门办理余热利用项目检查、验收、特种设备报验、取安装使用证等事宜。</w:t>
      </w:r>
    </w:p>
    <w:p>
      <w:pPr>
        <w:spacing w:after="0" w:line="360" w:lineRule="auto"/>
        <w:rPr>
          <w:rFonts w:hint="eastAsia" w:ascii="宋体" w:hAnsi="宋体" w:eastAsia="宋体" w:cs="Arial"/>
          <w:bCs/>
          <w:sz w:val="24"/>
          <w:szCs w:val="24"/>
          <w:lang w:val="en-US" w:eastAsia="zh-CN"/>
        </w:rPr>
      </w:pPr>
      <w:r>
        <w:rPr>
          <w:rFonts w:hint="eastAsia" w:ascii="宋体" w:hAnsi="宋体" w:eastAsia="宋体" w:cs="Arial"/>
          <w:bCs/>
          <w:sz w:val="24"/>
          <w:szCs w:val="24"/>
          <w:lang w:val="en-US" w:eastAsia="zh-CN"/>
        </w:rPr>
        <w:t>6.1.1.6提供工程竣工资料，包括图纸、安装操作使用说明书、产品合格证、检验文件等。</w:t>
      </w:r>
    </w:p>
    <w:p>
      <w:pPr>
        <w:numPr>
          <w:ilvl w:val="0"/>
          <w:numId w:val="0"/>
        </w:numPr>
        <w:tabs>
          <w:tab w:val="left" w:pos="312"/>
        </w:tabs>
        <w:spacing w:after="0" w:line="360" w:lineRule="auto"/>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highlight w:val="none"/>
          <w:lang w:val="en-US" w:eastAsia="zh-CN"/>
        </w:rPr>
        <w:t>6.1.1.7投标方负责上升管直管段的拆除、上升管换热器的供货及安装、上升管水封装置和底座及其附件的旧设备拆除和新设备的供货和安装、桥管与阀体连接点的封堵、上升管底座及外部炉顶砖恢复、桥管的清理、阀体的清理、如有损坏的底座桥管和炉砖需更换等。</w:t>
      </w:r>
    </w:p>
    <w:p>
      <w:pPr>
        <w:pStyle w:val="2"/>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6.1.1.8</w:t>
      </w:r>
      <w:r>
        <w:rPr>
          <w:rFonts w:hint="eastAsia" w:ascii="宋体" w:hAnsi="宋体" w:eastAsia="宋体" w:cs="宋体"/>
          <w:bCs/>
          <w:sz w:val="24"/>
          <w:szCs w:val="24"/>
          <w:lang w:eastAsia="zh-CN"/>
        </w:rPr>
        <w:t>投标方负责产</w:t>
      </w:r>
      <w:r>
        <w:rPr>
          <w:rFonts w:hint="eastAsia" w:ascii="宋体" w:hAnsi="宋体" w:eastAsia="宋体" w:cs="宋体"/>
          <w:bCs/>
          <w:sz w:val="24"/>
          <w:szCs w:val="24"/>
          <w:highlight w:val="none"/>
          <w:lang w:eastAsia="zh-CN"/>
        </w:rPr>
        <w:t>出蒸汽并入招标方低压蒸汽管网</w:t>
      </w:r>
      <w:r>
        <w:rPr>
          <w:rFonts w:hint="eastAsia" w:ascii="宋体" w:hAnsi="宋体" w:eastAsia="宋体" w:cs="宋体"/>
          <w:bCs/>
          <w:sz w:val="24"/>
          <w:szCs w:val="24"/>
          <w:highlight w:val="none"/>
          <w:lang w:val="en-US" w:eastAsia="zh-CN"/>
        </w:rPr>
        <w:t>,带压</w:t>
      </w:r>
      <w:r>
        <w:rPr>
          <w:rFonts w:hint="eastAsia" w:ascii="宋体" w:hAnsi="宋体" w:eastAsia="宋体" w:cs="宋体"/>
          <w:bCs/>
          <w:sz w:val="24"/>
          <w:szCs w:val="24"/>
          <w:highlight w:val="none"/>
          <w:lang w:eastAsia="zh-CN"/>
        </w:rPr>
        <w:t>开孔及阀门提供和安装都由投标方负责。</w:t>
      </w:r>
    </w:p>
    <w:p>
      <w:pPr>
        <w:numPr>
          <w:ilvl w:val="0"/>
          <w:numId w:val="0"/>
        </w:numPr>
        <w:tabs>
          <w:tab w:val="left" w:pos="312"/>
        </w:tabs>
        <w:spacing w:after="0" w:line="360" w:lineRule="auto"/>
        <w:rPr>
          <w:rFonts w:ascii="宋体" w:hAnsi="宋体" w:eastAsia="宋体" w:cs="宋体"/>
          <w:sz w:val="24"/>
          <w:szCs w:val="24"/>
        </w:rPr>
      </w:pPr>
      <w:r>
        <w:rPr>
          <w:rFonts w:hint="eastAsia" w:ascii="宋体" w:hAnsi="宋体" w:eastAsia="宋体" w:cs="宋体"/>
          <w:sz w:val="24"/>
          <w:szCs w:val="24"/>
        </w:rPr>
        <w:t>6.1.2 招标方负责</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rPr>
        <w:t>6.1.2.1 将动力电供至投标方电源总开关柜。</w:t>
      </w:r>
    </w:p>
    <w:p>
      <w:pPr>
        <w:tabs>
          <w:tab w:val="left" w:pos="284"/>
          <w:tab w:val="left" w:pos="426"/>
          <w:tab w:val="left" w:pos="993"/>
        </w:tabs>
        <w:spacing w:after="0" w:line="360" w:lineRule="auto"/>
        <w:rPr>
          <w:rFonts w:hint="eastAsia" w:ascii="宋体" w:hAnsi="宋体" w:eastAsia="宋体" w:cs="宋体"/>
          <w:bCs/>
          <w:sz w:val="24"/>
          <w:szCs w:val="24"/>
        </w:rPr>
      </w:pPr>
      <w:r>
        <w:rPr>
          <w:rFonts w:hint="eastAsia" w:ascii="宋体" w:hAnsi="宋体" w:eastAsia="宋体" w:cs="宋体"/>
          <w:bCs/>
          <w:sz w:val="24"/>
          <w:szCs w:val="24"/>
        </w:rPr>
        <w:t>6.1.2.2 负责</w:t>
      </w:r>
      <w:r>
        <w:rPr>
          <w:rFonts w:hint="eastAsia" w:ascii="宋体" w:hAnsi="宋体" w:eastAsia="宋体" w:cs="宋体"/>
          <w:bCs/>
          <w:sz w:val="24"/>
          <w:szCs w:val="24"/>
          <w:lang w:eastAsia="zh-CN"/>
        </w:rPr>
        <w:t>提供现有工艺布置图、焦炉规格型号及产能表</w:t>
      </w:r>
      <w:r>
        <w:rPr>
          <w:rFonts w:hint="eastAsia" w:ascii="宋体" w:hAnsi="宋体" w:eastAsia="宋体" w:cs="宋体"/>
          <w:bCs/>
          <w:sz w:val="24"/>
          <w:szCs w:val="24"/>
        </w:rPr>
        <w:t>。</w:t>
      </w:r>
    </w:p>
    <w:p>
      <w:pPr>
        <w:tabs>
          <w:tab w:val="left" w:pos="284"/>
          <w:tab w:val="left" w:pos="426"/>
          <w:tab w:val="left" w:pos="993"/>
        </w:tabs>
        <w:spacing w:after="0" w:line="360" w:lineRule="auto"/>
        <w:rPr>
          <w:rFonts w:hint="eastAsia" w:eastAsia="宋体"/>
          <w:lang w:val="en-US" w:eastAsia="zh-CN"/>
        </w:rPr>
      </w:pPr>
      <w:r>
        <w:rPr>
          <w:rFonts w:hint="eastAsia" w:ascii="宋体" w:hAnsi="宋体" w:eastAsia="宋体" w:cs="宋体"/>
          <w:bCs/>
          <w:sz w:val="24"/>
          <w:szCs w:val="24"/>
          <w:lang w:val="en-US" w:eastAsia="zh-CN"/>
        </w:rPr>
        <w:t>6.1.2.3</w:t>
      </w:r>
      <w:r>
        <w:rPr>
          <w:rFonts w:hint="eastAsia" w:ascii="宋体" w:hAnsi="宋体" w:eastAsia="宋体" w:cs="宋体"/>
          <w:bCs/>
          <w:sz w:val="24"/>
          <w:szCs w:val="24"/>
          <w:lang w:eastAsia="zh-CN"/>
        </w:rPr>
        <w:t>焦炉上升管</w:t>
      </w:r>
      <w:r>
        <w:rPr>
          <w:rFonts w:hint="eastAsia" w:ascii="宋体" w:hAnsi="宋体" w:eastAsia="宋体" w:cs="宋体"/>
          <w:bCs/>
          <w:sz w:val="24"/>
          <w:szCs w:val="24"/>
        </w:rPr>
        <w:t>区域设备所需所有介质管路，</w:t>
      </w:r>
      <w:r>
        <w:rPr>
          <w:rFonts w:hint="eastAsia" w:ascii="宋体" w:hAnsi="宋体" w:eastAsia="宋体" w:cs="宋体"/>
          <w:bCs/>
          <w:sz w:val="24"/>
          <w:szCs w:val="24"/>
          <w:lang w:eastAsia="zh-CN"/>
        </w:rPr>
        <w:t>招标</w:t>
      </w:r>
      <w:r>
        <w:rPr>
          <w:rFonts w:hint="eastAsia" w:ascii="宋体" w:hAnsi="宋体" w:eastAsia="宋体" w:cs="宋体"/>
          <w:bCs/>
          <w:sz w:val="24"/>
          <w:szCs w:val="24"/>
        </w:rPr>
        <w:t>方接至</w:t>
      </w:r>
      <w:r>
        <w:rPr>
          <w:rFonts w:hint="eastAsia" w:ascii="宋体" w:hAnsi="宋体" w:eastAsia="宋体" w:cs="宋体"/>
          <w:bCs/>
          <w:sz w:val="24"/>
          <w:szCs w:val="24"/>
          <w:lang w:eastAsia="zh-CN"/>
        </w:rPr>
        <w:t>投标</w:t>
      </w:r>
      <w:r>
        <w:rPr>
          <w:rFonts w:hint="eastAsia" w:ascii="宋体" w:hAnsi="宋体" w:eastAsia="宋体" w:cs="宋体"/>
          <w:bCs/>
          <w:sz w:val="24"/>
          <w:szCs w:val="24"/>
        </w:rPr>
        <w:t>方</w:t>
      </w:r>
      <w:r>
        <w:rPr>
          <w:rFonts w:hint="eastAsia" w:ascii="宋体" w:hAnsi="宋体" w:eastAsia="宋体" w:cs="宋体"/>
          <w:bCs/>
          <w:sz w:val="24"/>
          <w:szCs w:val="24"/>
          <w:lang w:eastAsia="zh-CN"/>
        </w:rPr>
        <w:t>指定点一米范围之内</w:t>
      </w:r>
      <w:r>
        <w:rPr>
          <w:rFonts w:hint="eastAsia" w:ascii="宋体" w:hAnsi="宋体" w:eastAsia="宋体" w:cs="宋体"/>
          <w:bCs/>
          <w:sz w:val="24"/>
          <w:szCs w:val="24"/>
        </w:rPr>
        <w:t>，并设置一道总阀</w:t>
      </w:r>
      <w:r>
        <w:rPr>
          <w:rFonts w:hint="eastAsia" w:ascii="宋体" w:hAnsi="宋体" w:eastAsia="宋体" w:cs="宋体"/>
          <w:bCs/>
          <w:sz w:val="24"/>
          <w:szCs w:val="24"/>
          <w:lang w:eastAsia="zh-CN"/>
        </w:rPr>
        <w:t>（各介质招标方只给投标方提供一个接点）</w:t>
      </w:r>
      <w:r>
        <w:rPr>
          <w:rFonts w:hint="eastAsia" w:ascii="宋体" w:hAnsi="宋体" w:eastAsia="宋体" w:cs="宋体"/>
          <w:bCs/>
          <w:sz w:val="24"/>
          <w:szCs w:val="24"/>
        </w:rPr>
        <w:t>，由</w:t>
      </w:r>
      <w:r>
        <w:rPr>
          <w:rFonts w:hint="eastAsia" w:ascii="宋体" w:hAnsi="宋体" w:eastAsia="宋体" w:cs="宋体"/>
          <w:bCs/>
          <w:sz w:val="24"/>
          <w:szCs w:val="24"/>
          <w:lang w:eastAsia="zh-CN"/>
        </w:rPr>
        <w:t>投标</w:t>
      </w:r>
      <w:r>
        <w:rPr>
          <w:rFonts w:hint="eastAsia" w:ascii="宋体" w:hAnsi="宋体" w:eastAsia="宋体" w:cs="宋体"/>
          <w:bCs/>
          <w:sz w:val="24"/>
          <w:szCs w:val="24"/>
        </w:rPr>
        <w:t>方负责接至设备</w:t>
      </w:r>
      <w:r>
        <w:rPr>
          <w:rFonts w:hint="eastAsia" w:ascii="宋体" w:hAnsi="宋体" w:eastAsia="宋体" w:cs="宋体"/>
          <w:bCs/>
          <w:sz w:val="24"/>
          <w:szCs w:val="24"/>
          <w:lang w:eastAsia="zh-CN"/>
        </w:rPr>
        <w:t>各</w:t>
      </w:r>
      <w:r>
        <w:rPr>
          <w:rFonts w:hint="eastAsia" w:ascii="宋体" w:hAnsi="宋体" w:eastAsia="宋体" w:cs="宋体"/>
          <w:bCs/>
          <w:sz w:val="24"/>
          <w:szCs w:val="24"/>
        </w:rPr>
        <w:t>使用点。</w:t>
      </w:r>
    </w:p>
    <w:p>
      <w:pPr>
        <w:tabs>
          <w:tab w:val="left" w:pos="3084"/>
        </w:tabs>
        <w:spacing w:after="0" w:line="360" w:lineRule="auto"/>
        <w:rPr>
          <w:rFonts w:ascii="宋体" w:hAnsi="宋体" w:eastAsia="宋体" w:cs="宋体"/>
          <w:b/>
          <w:sz w:val="24"/>
          <w:szCs w:val="24"/>
        </w:rPr>
      </w:pPr>
      <w:r>
        <w:rPr>
          <w:rFonts w:hint="eastAsia" w:ascii="宋体" w:hAnsi="宋体" w:eastAsia="宋体" w:cs="宋体"/>
          <w:b/>
          <w:sz w:val="24"/>
          <w:szCs w:val="24"/>
        </w:rPr>
        <w:t>6.2供货分交</w:t>
      </w:r>
    </w:p>
    <w:p>
      <w:pPr>
        <w:spacing w:after="0" w:line="360" w:lineRule="auto"/>
        <w:rPr>
          <w:rFonts w:ascii="宋体" w:hAnsi="宋体" w:eastAsia="宋体" w:cs="宋体"/>
          <w:sz w:val="24"/>
          <w:szCs w:val="24"/>
        </w:rPr>
      </w:pPr>
      <w:r>
        <w:rPr>
          <w:rFonts w:hint="eastAsia" w:ascii="宋体" w:hAnsi="宋体" w:eastAsia="宋体" w:cs="宋体"/>
          <w:sz w:val="24"/>
          <w:szCs w:val="24"/>
        </w:rPr>
        <w:t>6.2.1 投标方负责</w:t>
      </w:r>
    </w:p>
    <w:p>
      <w:pPr>
        <w:spacing w:after="0" w:line="360" w:lineRule="auto"/>
        <w:rPr>
          <w:rFonts w:ascii="宋体" w:hAnsi="宋体" w:eastAsia="宋体" w:cs="宋体"/>
          <w:sz w:val="24"/>
          <w:szCs w:val="24"/>
        </w:rPr>
      </w:pPr>
      <w:r>
        <w:rPr>
          <w:rFonts w:hint="eastAsia" w:ascii="宋体" w:hAnsi="宋体" w:eastAsia="宋体" w:cs="宋体"/>
          <w:sz w:val="24"/>
          <w:szCs w:val="24"/>
        </w:rPr>
        <w:t>6.2.1.1负责本技术文件所描述设备功能范围内所有设备</w:t>
      </w:r>
      <w:r>
        <w:rPr>
          <w:rFonts w:hint="eastAsia" w:ascii="宋体" w:hAnsi="宋体" w:eastAsia="宋体" w:cs="宋体"/>
          <w:sz w:val="24"/>
          <w:szCs w:val="24"/>
          <w:lang w:eastAsia="zh-CN"/>
        </w:rPr>
        <w:t>，</w:t>
      </w:r>
      <w:r>
        <w:rPr>
          <w:rFonts w:hint="eastAsia" w:ascii="宋体" w:hAnsi="宋体" w:eastAsia="宋体" w:cs="宋体"/>
          <w:sz w:val="24"/>
          <w:szCs w:val="24"/>
        </w:rPr>
        <w:t>包含设备框架及附属设施供货，明确注明属招标方供货的除外。</w:t>
      </w:r>
    </w:p>
    <w:p>
      <w:pPr>
        <w:spacing w:after="0" w:line="360" w:lineRule="auto"/>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1</w:t>
      </w:r>
      <w:r>
        <w:rPr>
          <w:rFonts w:hint="eastAsia" w:ascii="宋体" w:hAnsi="宋体" w:eastAsia="宋体" w:cs="宋体"/>
          <w:sz w:val="24"/>
          <w:szCs w:val="24"/>
        </w:rPr>
        <w:t>.2负责</w:t>
      </w:r>
      <w:r>
        <w:rPr>
          <w:rFonts w:hint="eastAsia" w:ascii="宋体" w:hAnsi="宋体" w:eastAsia="宋体" w:cs="宋体"/>
          <w:sz w:val="24"/>
          <w:szCs w:val="24"/>
          <w:lang w:eastAsia="zh-CN"/>
        </w:rPr>
        <w:t>动力电缆、</w:t>
      </w:r>
      <w:r>
        <w:rPr>
          <w:rFonts w:hint="eastAsia" w:ascii="宋体" w:hAnsi="宋体" w:eastAsia="宋体" w:cs="宋体"/>
          <w:sz w:val="24"/>
          <w:szCs w:val="24"/>
        </w:rPr>
        <w:t>控制电缆及通讯电缆、管线等辅材供货。</w:t>
      </w:r>
    </w:p>
    <w:p>
      <w:pPr>
        <w:spacing w:after="0" w:line="360" w:lineRule="auto"/>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1.</w:t>
      </w:r>
      <w:r>
        <w:rPr>
          <w:rFonts w:hint="eastAsia" w:ascii="宋体" w:hAnsi="宋体" w:eastAsia="宋体" w:cs="宋体"/>
          <w:sz w:val="24"/>
          <w:szCs w:val="24"/>
        </w:rPr>
        <w:t>3所有投标方供货的设备都涂有底漆及二次面漆加以防护，通用产品出厂涂有最终面漆。</w:t>
      </w:r>
    </w:p>
    <w:p>
      <w:pPr>
        <w:spacing w:after="0" w:line="360" w:lineRule="auto"/>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1.</w:t>
      </w:r>
      <w:r>
        <w:rPr>
          <w:rFonts w:hint="eastAsia" w:ascii="宋体" w:hAnsi="宋体" w:eastAsia="宋体" w:cs="宋体"/>
          <w:sz w:val="24"/>
          <w:szCs w:val="24"/>
        </w:rPr>
        <w:t>4主要设施及附属设施的涂装须按《涂装通用技术条件》JB/T5000.12-2018执行。涂漆前必须认真仔细地清除锈蚀，手工除锈要达到st3级，喷射除锈要达到sa2.5级。</w:t>
      </w:r>
    </w:p>
    <w:p>
      <w:pPr>
        <w:spacing w:after="0" w:line="360" w:lineRule="auto"/>
        <w:rPr>
          <w:rFonts w:hint="eastAsia" w:ascii="宋体" w:hAnsi="宋体" w:eastAsia="宋体" w:cs="宋体"/>
          <w:sz w:val="24"/>
          <w:szCs w:val="24"/>
        </w:rPr>
      </w:pPr>
      <w:r>
        <w:rPr>
          <w:rFonts w:hint="eastAsia" w:ascii="宋体" w:hAnsi="宋体" w:eastAsia="宋体" w:cs="宋体"/>
          <w:sz w:val="24"/>
          <w:szCs w:val="24"/>
        </w:rPr>
        <w:t>涂漆道次：涂底漆2次，2次面漆。平膜总厚度为200μm（干膜）。</w:t>
      </w:r>
    </w:p>
    <w:p>
      <w:pPr>
        <w:spacing w:after="0" w:line="360" w:lineRule="auto"/>
        <w:rPr>
          <w:rFonts w:ascii="宋体" w:hAnsi="宋体" w:eastAsia="宋体" w:cs="宋体"/>
          <w:sz w:val="24"/>
          <w:szCs w:val="24"/>
        </w:rPr>
      </w:pPr>
      <w:r>
        <w:rPr>
          <w:rFonts w:hint="eastAsia" w:ascii="宋体" w:hAnsi="宋体" w:eastAsia="宋体" w:cs="宋体"/>
          <w:sz w:val="24"/>
          <w:szCs w:val="24"/>
        </w:rPr>
        <w:t>6.2.2 招标方负责</w:t>
      </w:r>
    </w:p>
    <w:p>
      <w:pPr>
        <w:spacing w:after="0" w:line="360" w:lineRule="auto"/>
        <w:rPr>
          <w:rFonts w:hint="eastAsia" w:ascii="宋体" w:hAnsi="宋体" w:eastAsia="宋体" w:cs="宋体"/>
          <w:sz w:val="24"/>
          <w:szCs w:val="24"/>
        </w:rPr>
      </w:pPr>
      <w:r>
        <w:rPr>
          <w:rFonts w:hint="eastAsia" w:ascii="宋体" w:hAnsi="宋体" w:eastAsia="宋体" w:cs="宋体"/>
          <w:sz w:val="24"/>
          <w:szCs w:val="24"/>
        </w:rPr>
        <w:t>负责提供本技术文件所描述的</w:t>
      </w:r>
      <w:r>
        <w:rPr>
          <w:rFonts w:hint="eastAsia" w:ascii="宋体" w:hAnsi="宋体" w:eastAsia="宋体" w:cs="宋体"/>
          <w:sz w:val="24"/>
          <w:szCs w:val="24"/>
          <w:lang w:eastAsia="zh-CN"/>
        </w:rPr>
        <w:t>焦炉</w:t>
      </w:r>
      <w:r>
        <w:rPr>
          <w:rFonts w:hint="eastAsia" w:ascii="宋体" w:hAnsi="宋体" w:eastAsia="宋体" w:cs="宋体"/>
          <w:sz w:val="24"/>
          <w:szCs w:val="24"/>
        </w:rPr>
        <w:t>相关技术参数。</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rPr>
        <w:t>七、资料交付</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rPr>
        <w:t>7.1 先期资料交付</w:t>
      </w:r>
    </w:p>
    <w:p>
      <w:pPr>
        <w:widowControl w:val="0"/>
        <w:tabs>
          <w:tab w:val="left" w:pos="312"/>
        </w:tabs>
        <w:adjustRightInd/>
        <w:snapToGrid/>
        <w:spacing w:after="0" w:line="360" w:lineRule="auto"/>
        <w:jc w:val="both"/>
        <w:rPr>
          <w:rFonts w:ascii="宋体" w:hAnsi="宋体" w:eastAsia="宋体" w:cs="宋体"/>
          <w:sz w:val="24"/>
          <w:szCs w:val="24"/>
        </w:rPr>
      </w:pPr>
      <w:r>
        <w:rPr>
          <w:rFonts w:hint="eastAsia" w:ascii="宋体" w:hAnsi="宋体" w:eastAsia="宋体" w:cs="宋体"/>
          <w:sz w:val="24"/>
          <w:szCs w:val="24"/>
        </w:rPr>
        <w:t>7.1.1 合同签订后</w:t>
      </w:r>
      <w:r>
        <w:rPr>
          <w:rFonts w:hint="eastAsia" w:ascii="宋体" w:hAnsi="宋体" w:eastAsia="宋体" w:cs="宋体"/>
          <w:sz w:val="24"/>
          <w:szCs w:val="24"/>
          <w:lang w:val="en-US" w:eastAsia="zh-CN"/>
        </w:rPr>
        <w:t>15</w:t>
      </w:r>
      <w:r>
        <w:rPr>
          <w:rFonts w:hint="eastAsia" w:ascii="宋体" w:hAnsi="宋体" w:eastAsia="宋体" w:cs="宋体"/>
          <w:sz w:val="24"/>
          <w:szCs w:val="24"/>
        </w:rPr>
        <w:t>天内，投标方需向招标方提供</w:t>
      </w:r>
      <w:r>
        <w:rPr>
          <w:rFonts w:hint="eastAsia" w:ascii="宋体" w:hAnsi="宋体" w:eastAsia="宋体" w:cs="宋体"/>
          <w:bCs/>
          <w:sz w:val="24"/>
        </w:rPr>
        <w:t>设备基础图</w:t>
      </w:r>
      <w:r>
        <w:rPr>
          <w:rFonts w:hint="eastAsia" w:ascii="宋体" w:hAnsi="宋体" w:eastAsia="宋体" w:cs="宋体"/>
          <w:bCs/>
          <w:sz w:val="24"/>
          <w:lang w:eastAsia="zh-CN"/>
        </w:rPr>
        <w:t>、</w:t>
      </w:r>
      <w:r>
        <w:rPr>
          <w:rFonts w:hint="eastAsia" w:ascii="宋体" w:hAnsi="宋体" w:eastAsia="宋体" w:cs="宋体"/>
          <w:bCs/>
          <w:sz w:val="24"/>
        </w:rPr>
        <w:t>平面布置图</w:t>
      </w:r>
      <w:r>
        <w:rPr>
          <w:rFonts w:hint="eastAsia" w:ascii="宋体" w:hAnsi="宋体" w:eastAsia="宋体" w:cs="宋体"/>
          <w:bCs/>
          <w:sz w:val="24"/>
          <w:lang w:eastAsia="zh-CN"/>
        </w:rPr>
        <w:t>、</w:t>
      </w:r>
      <w:r>
        <w:rPr>
          <w:rFonts w:hint="eastAsia" w:ascii="宋体" w:hAnsi="宋体" w:eastAsia="宋体" w:cs="宋体"/>
          <w:bCs/>
          <w:sz w:val="24"/>
        </w:rPr>
        <w:t>水、电</w:t>
      </w:r>
      <w:r>
        <w:rPr>
          <w:rFonts w:hint="eastAsia" w:ascii="宋体" w:hAnsi="宋体" w:eastAsia="宋体" w:cs="宋体"/>
          <w:bCs/>
          <w:sz w:val="24"/>
          <w:lang w:eastAsia="zh-CN"/>
        </w:rPr>
        <w:t>、</w:t>
      </w:r>
      <w:r>
        <w:rPr>
          <w:rFonts w:hint="eastAsia" w:ascii="宋体" w:hAnsi="宋体" w:eastAsia="宋体" w:cs="宋体"/>
          <w:bCs/>
          <w:sz w:val="24"/>
        </w:rPr>
        <w:t>气</w:t>
      </w:r>
      <w:r>
        <w:rPr>
          <w:rFonts w:hint="eastAsia" w:ascii="宋体" w:hAnsi="宋体" w:eastAsia="宋体" w:cs="宋体"/>
          <w:bCs/>
          <w:sz w:val="24"/>
          <w:lang w:eastAsia="zh-CN"/>
        </w:rPr>
        <w:t>等各介质条件</w:t>
      </w:r>
      <w:r>
        <w:rPr>
          <w:rFonts w:hint="eastAsia" w:ascii="宋体" w:hAnsi="宋体" w:eastAsia="宋体" w:cs="宋体"/>
          <w:bCs/>
          <w:sz w:val="24"/>
        </w:rPr>
        <w:t>。</w:t>
      </w:r>
      <w:r>
        <w:rPr>
          <w:rFonts w:hint="eastAsia" w:ascii="宋体" w:hAnsi="宋体" w:eastAsia="宋体" w:cs="宋体"/>
          <w:sz w:val="24"/>
          <w:szCs w:val="24"/>
        </w:rPr>
        <w:t>招标方审核无误后，双方对平面布置图和基础土建图进行会签。</w:t>
      </w:r>
    </w:p>
    <w:p>
      <w:pPr>
        <w:tabs>
          <w:tab w:val="left" w:pos="720"/>
        </w:tabs>
        <w:spacing w:after="0" w:line="360" w:lineRule="auto"/>
        <w:rPr>
          <w:rFonts w:ascii="宋体" w:hAnsi="宋体" w:eastAsia="宋体" w:cs="宋体"/>
          <w:sz w:val="24"/>
          <w:szCs w:val="24"/>
        </w:rPr>
      </w:pPr>
      <w:r>
        <w:rPr>
          <w:rFonts w:hint="eastAsia" w:ascii="宋体" w:hAnsi="宋体" w:eastAsia="宋体" w:cs="宋体"/>
          <w:sz w:val="24"/>
          <w:szCs w:val="24"/>
        </w:rPr>
        <w:t>7.1.2 设备发货时，投标方需提供以下技术文件资料，包括且不限于：</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7.1.2.1 施工技术资料。</w:t>
      </w:r>
      <w:r>
        <w:rPr>
          <w:rFonts w:hint="eastAsia" w:ascii="宋体" w:hAnsi="宋体" w:eastAsia="宋体" w:cs="宋体"/>
          <w:bCs/>
          <w:sz w:val="24"/>
          <w:lang w:eastAsia="zh-CN"/>
        </w:rPr>
        <w:t>工艺</w:t>
      </w:r>
      <w:r>
        <w:rPr>
          <w:rFonts w:hint="eastAsia" w:ascii="宋体" w:hAnsi="宋体" w:eastAsia="宋体" w:cs="宋体"/>
          <w:bCs/>
          <w:sz w:val="24"/>
        </w:rPr>
        <w:t>平面布置图</w:t>
      </w:r>
      <w:r>
        <w:rPr>
          <w:rFonts w:hint="eastAsia" w:ascii="宋体" w:hAnsi="宋体" w:eastAsia="宋体" w:cs="宋体"/>
          <w:bCs/>
          <w:sz w:val="24"/>
          <w:lang w:eastAsia="zh-CN"/>
        </w:rPr>
        <w:t>、安装图、基础图等</w:t>
      </w:r>
      <w:r>
        <w:rPr>
          <w:rFonts w:hint="eastAsia" w:ascii="宋体" w:hAnsi="宋体" w:eastAsia="宋体" w:cs="宋体"/>
          <w:bCs/>
          <w:sz w:val="24"/>
        </w:rPr>
        <w:t>。</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7.1.2.2 机械部分。包括装配图、操作维修保养说明书、液压原理图、管线图、液压系统使用说明书、备品配件清单、配套件生产厂家和联系方式、易损零部件图和安全操作规程等。</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7.1.2.3 电气部分。包括电气原理图，外部接线图，电气使用维护说明书、</w:t>
      </w:r>
      <w:r>
        <w:rPr>
          <w:rFonts w:hint="eastAsia" w:ascii="宋体" w:hAnsi="宋体" w:eastAsia="宋体" w:cs="宋体"/>
          <w:bCs/>
          <w:sz w:val="24"/>
          <w:lang w:val="en-US" w:eastAsia="zh-CN"/>
        </w:rPr>
        <w:t>控制</w:t>
      </w:r>
      <w:r>
        <w:rPr>
          <w:rFonts w:hint="eastAsia" w:ascii="宋体" w:hAnsi="宋体" w:eastAsia="宋体" w:cs="宋体"/>
          <w:bCs/>
          <w:sz w:val="24"/>
        </w:rPr>
        <w:t>程序、应用软件显示画面及输出报表说明等。</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7.1.2.4 技术人员、操作人员和维修人员的培训资料。</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7.1.2.5 招标方认为需要的，而上述没有列举的其它资料。</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rPr>
        <w:t>7.1.2.6 技术资料使用中文，所有资料提供二份纸质文档，一份电子文档光盘（DVD），其中图纸应同时提供dwg和pdf两种格式</w:t>
      </w:r>
      <w:r>
        <w:rPr>
          <w:rFonts w:hint="eastAsia" w:ascii="宋体" w:hAnsi="宋体" w:eastAsia="宋体" w:cs="宋体"/>
          <w:bCs/>
          <w:sz w:val="24"/>
          <w:lang w:eastAsia="zh-CN"/>
        </w:rPr>
        <w:t>，文档提供</w:t>
      </w:r>
      <w:r>
        <w:rPr>
          <w:rFonts w:hint="eastAsia" w:ascii="宋体" w:hAnsi="宋体" w:eastAsia="宋体" w:cs="宋体"/>
          <w:bCs/>
          <w:sz w:val="24"/>
          <w:lang w:val="en-US" w:eastAsia="zh-CN"/>
        </w:rPr>
        <w:t>.doc格式</w:t>
      </w:r>
      <w:r>
        <w:rPr>
          <w:rFonts w:hint="eastAsia" w:ascii="宋体" w:hAnsi="宋体" w:eastAsia="宋体" w:cs="宋体"/>
          <w:bCs/>
          <w:sz w:val="24"/>
        </w:rPr>
        <w:t>。</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rPr>
        <w:t>7.2 资料交付及要求</w:t>
      </w:r>
    </w:p>
    <w:tbl>
      <w:tblPr>
        <w:tblStyle w:val="10"/>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序号</w:t>
            </w:r>
          </w:p>
        </w:tc>
        <w:tc>
          <w:tcPr>
            <w:tcW w:w="4192"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资料名称</w:t>
            </w:r>
          </w:p>
        </w:tc>
        <w:tc>
          <w:tcPr>
            <w:tcW w:w="163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交付时间</w:t>
            </w:r>
          </w:p>
        </w:tc>
        <w:tc>
          <w:tcPr>
            <w:tcW w:w="2408"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1</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用于设计的资料图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设计审查</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000000"/>
                <w:sz w:val="21"/>
                <w:szCs w:val="21"/>
                <w:lang w:val="en-US" w:eastAsia="zh-CN"/>
              </w:rPr>
              <w:t>15</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土建基础资料图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介质接点资料图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r>
              <w:rPr>
                <w:rFonts w:hint="eastAsia" w:ascii="宋体" w:hAnsi="宋体" w:eastAsia="宋体"/>
                <w:sz w:val="21"/>
                <w:szCs w:val="21"/>
              </w:rPr>
              <w:t>电气及自动化提资图（含电气装置表）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合同签订15天内</w:t>
            </w:r>
          </w:p>
        </w:tc>
        <w:tc>
          <w:tcPr>
            <w:tcW w:w="2408" w:type="dxa"/>
            <w:vAlign w:val="bottom"/>
          </w:tcPr>
          <w:p>
            <w:pPr>
              <w:spacing w:after="0"/>
              <w:textAlignment w:val="bottom"/>
              <w:rPr>
                <w:rFonts w:ascii="宋体" w:hAnsi="宋体" w:eastAsia="宋体"/>
                <w:sz w:val="21"/>
                <w:szCs w:val="21"/>
              </w:rPr>
            </w:pPr>
            <w:r>
              <w:rPr>
                <w:rFonts w:hint="eastAsia" w:ascii="宋体" w:hAnsi="宋体" w:eastAsia="宋体"/>
                <w:sz w:val="21"/>
                <w:szCs w:val="21"/>
              </w:rPr>
              <w:t>DWG电子版+蓝图</w:t>
            </w:r>
            <w:r>
              <w:rPr>
                <w:rFonts w:hint="eastAsia" w:ascii="宋体" w:hAnsi="宋体" w:eastAsia="宋体"/>
                <w:sz w:val="21"/>
                <w:szCs w:val="21"/>
                <w:lang w:val="en-US" w:eastAsia="zh-CN"/>
              </w:rPr>
              <w:t>8</w:t>
            </w:r>
            <w:r>
              <w:rPr>
                <w:rFonts w:hint="eastAsia" w:ascii="宋体" w:hAnsi="宋体" w:eastAsia="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2</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机械装置</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装置安装总图（含装置重量）、部件图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lang w:val="en-US" w:eastAsia="zh-CN"/>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液压原理图、管线图、液压系统使用说明书、配套件生产厂家和联系方式、安全操作规程等。</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备件图</w:t>
            </w:r>
          </w:p>
        </w:tc>
        <w:tc>
          <w:tcPr>
            <w:tcW w:w="1635"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主要外购件清单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消耗件、易损件图清单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3</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液压、气动及润滑系统</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原理图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布管图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4</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公辅介质施工图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压缩空气、水等介质施工图</w:t>
            </w:r>
          </w:p>
        </w:tc>
        <w:tc>
          <w:tcPr>
            <w:tcW w:w="1635"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5</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电气及控制</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center"/>
          </w:tcPr>
          <w:p>
            <w:pPr>
              <w:spacing w:after="0"/>
              <w:jc w:val="center"/>
              <w:rPr>
                <w:rFonts w:ascii="宋体" w:hAnsi="宋体" w:eastAsia="宋体"/>
                <w:color w:val="000000"/>
                <w:sz w:val="21"/>
                <w:szCs w:val="21"/>
              </w:rPr>
            </w:pPr>
          </w:p>
        </w:tc>
        <w:tc>
          <w:tcPr>
            <w:tcW w:w="4192" w:type="dxa"/>
            <w:vAlign w:val="center"/>
          </w:tcPr>
          <w:p>
            <w:pPr>
              <w:spacing w:after="0"/>
              <w:textAlignment w:val="bottom"/>
              <w:rPr>
                <w:rFonts w:ascii="宋体" w:hAnsi="宋体" w:eastAsia="宋体"/>
                <w:sz w:val="21"/>
                <w:szCs w:val="21"/>
              </w:rPr>
            </w:pPr>
            <w:r>
              <w:rPr>
                <w:rFonts w:hint="eastAsia" w:ascii="宋体" w:hAnsi="宋体" w:eastAsia="宋体"/>
                <w:sz w:val="21"/>
                <w:szCs w:val="21"/>
              </w:rPr>
              <w:t>电气及自动化系统施工图（含电缆表）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合同签订30天内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r>
              <w:rPr>
                <w:rFonts w:hint="eastAsia" w:ascii="宋体" w:hAnsi="宋体" w:eastAsia="宋体"/>
                <w:sz w:val="21"/>
                <w:szCs w:val="21"/>
                <w:lang w:val="en-US" w:eastAsia="zh-CN"/>
              </w:rPr>
              <w:t>控制程序</w:t>
            </w:r>
            <w:r>
              <w:rPr>
                <w:rFonts w:hint="eastAsia" w:ascii="宋体" w:hAnsi="宋体" w:eastAsia="宋体"/>
                <w:sz w:val="21"/>
                <w:szCs w:val="21"/>
              </w:rPr>
              <w:t>、上位机、触摸屏程序源代码</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调试完成后</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应用软件显示画面及输出报表说明</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调试完成后</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6</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装置相关资料</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最终装置的使用说明书和功能描述</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各种培训资料、操作、维护、检修、安全说明书</w:t>
            </w:r>
          </w:p>
        </w:tc>
        <w:tc>
          <w:tcPr>
            <w:tcW w:w="1635"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质量检验书和质保书</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技术资料使用中文，所有资料提供二份纸质文档，一份电子文档光盘（DVD），其中图纸应同时提供dwg和pdf两种格式。</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bl>
    <w:p>
      <w:pPr>
        <w:spacing w:beforeLines="50" w:after="0" w:line="360" w:lineRule="auto"/>
        <w:rPr>
          <w:rFonts w:ascii="宋体" w:hAnsi="宋体" w:eastAsia="宋体" w:cs="Arial"/>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1：</w:t>
      </w:r>
      <w:r>
        <w:rPr>
          <w:rFonts w:hint="eastAsia" w:ascii="宋体" w:hAnsi="宋体" w:eastAsia="宋体" w:cs="Arial"/>
          <w:bCs/>
          <w:sz w:val="24"/>
          <w:szCs w:val="24"/>
        </w:rPr>
        <w:t>所有日期均指日历日。</w:t>
      </w:r>
    </w:p>
    <w:p>
      <w:pPr>
        <w:tabs>
          <w:tab w:val="left" w:pos="735"/>
        </w:tabs>
        <w:spacing w:after="0" w:line="360" w:lineRule="auto"/>
        <w:rPr>
          <w:rFonts w:ascii="宋体" w:hAnsi="宋体" w:eastAsia="宋体" w:cs="宋体"/>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2：投标方交付的资料包括纸质资料和电子文件，表中资料份数为纸版资料份数</w:t>
      </w:r>
      <w:r>
        <w:rPr>
          <w:rFonts w:hint="eastAsia" w:ascii="宋体" w:hAnsi="宋体" w:eastAsia="宋体" w:cs="宋体"/>
          <w:bCs/>
          <w:sz w:val="24"/>
          <w:szCs w:val="24"/>
          <w:lang w:eastAsia="zh-CN"/>
        </w:rPr>
        <w:t>，投标方提供的蓝图必须有设计人员签字和盖有设计章</w:t>
      </w:r>
      <w:r>
        <w:rPr>
          <w:rFonts w:hint="eastAsia" w:ascii="宋体" w:hAnsi="宋体" w:eastAsia="宋体" w:cs="宋体"/>
          <w:bCs/>
          <w:sz w:val="24"/>
          <w:szCs w:val="24"/>
        </w:rPr>
        <w:t>。要求电子文件可编辑，电子文件类型分别为：dwg文件；doc文件；xls文件等。</w:t>
      </w:r>
    </w:p>
    <w:p>
      <w:pPr>
        <w:tabs>
          <w:tab w:val="left" w:pos="735"/>
        </w:tabs>
        <w:spacing w:after="0" w:line="360" w:lineRule="auto"/>
        <w:rPr>
          <w:rFonts w:ascii="宋体" w:hAnsi="宋体" w:eastAsia="宋体"/>
          <w:sz w:val="24"/>
          <w:szCs w:val="24"/>
        </w:rPr>
      </w:pPr>
      <w:r>
        <w:rPr>
          <w:rFonts w:hint="eastAsia" w:ascii="宋体" w:hAnsi="宋体" w:eastAsia="宋体" w:cs="Arial"/>
          <w:bCs/>
          <w:sz w:val="24"/>
          <w:szCs w:val="24"/>
        </w:rPr>
        <w:t>注</w:t>
      </w:r>
      <w:r>
        <w:rPr>
          <w:rFonts w:hint="eastAsia" w:ascii="宋体" w:hAnsi="宋体" w:eastAsia="宋体" w:cs="宋体"/>
          <w:bCs/>
          <w:sz w:val="24"/>
          <w:szCs w:val="24"/>
        </w:rPr>
        <w:t>3：</w:t>
      </w:r>
      <w:r>
        <w:rPr>
          <w:rFonts w:ascii="宋体" w:hAnsi="宋体" w:eastAsia="宋体"/>
          <w:sz w:val="24"/>
          <w:szCs w:val="24"/>
        </w:rPr>
        <w:t>对于没有列入技术资料清单，却是工程所必需的文件和资料，</w:t>
      </w:r>
      <w:r>
        <w:rPr>
          <w:rFonts w:hint="eastAsia" w:ascii="宋体" w:hAnsi="宋体" w:eastAsia="宋体"/>
          <w:sz w:val="24"/>
          <w:szCs w:val="24"/>
        </w:rPr>
        <w:t>投标方</w:t>
      </w:r>
      <w:r>
        <w:rPr>
          <w:rFonts w:ascii="宋体" w:hAnsi="宋体" w:eastAsia="宋体"/>
          <w:sz w:val="24"/>
          <w:szCs w:val="24"/>
        </w:rPr>
        <w:t>应按</w:t>
      </w:r>
      <w:r>
        <w:rPr>
          <w:rFonts w:hint="eastAsia" w:ascii="宋体" w:hAnsi="宋体" w:eastAsia="宋体"/>
          <w:sz w:val="24"/>
          <w:szCs w:val="24"/>
        </w:rPr>
        <w:t>招标方</w:t>
      </w:r>
      <w:r>
        <w:rPr>
          <w:rFonts w:ascii="宋体" w:hAnsi="宋体" w:eastAsia="宋体"/>
          <w:sz w:val="24"/>
          <w:szCs w:val="24"/>
        </w:rPr>
        <w:t>要求及时免费提供。如需改进时，</w:t>
      </w:r>
      <w:r>
        <w:rPr>
          <w:rFonts w:hint="eastAsia" w:ascii="宋体" w:hAnsi="宋体" w:eastAsia="宋体"/>
          <w:sz w:val="24"/>
          <w:szCs w:val="24"/>
        </w:rPr>
        <w:t>投标方</w:t>
      </w:r>
      <w:r>
        <w:rPr>
          <w:rFonts w:ascii="宋体" w:hAnsi="宋体" w:eastAsia="宋体"/>
          <w:sz w:val="24"/>
          <w:szCs w:val="24"/>
        </w:rPr>
        <w:t>应及时免费提供新的技术资料。</w:t>
      </w:r>
    </w:p>
    <w:p>
      <w:pPr>
        <w:tabs>
          <w:tab w:val="left" w:pos="735"/>
        </w:tabs>
        <w:spacing w:after="0" w:line="360" w:lineRule="auto"/>
        <w:rPr>
          <w:rFonts w:hint="eastAsia" w:ascii="宋体" w:hAnsi="宋体" w:eastAsia="宋体"/>
          <w:sz w:val="24"/>
          <w:szCs w:val="24"/>
        </w:rPr>
      </w:pPr>
      <w:r>
        <w:rPr>
          <w:rFonts w:hint="eastAsia" w:ascii="宋体" w:hAnsi="宋体" w:eastAsia="宋体" w:cs="Arial"/>
          <w:bCs/>
          <w:sz w:val="24"/>
          <w:szCs w:val="24"/>
        </w:rPr>
        <w:t>注</w:t>
      </w:r>
      <w:r>
        <w:rPr>
          <w:rFonts w:hint="eastAsia" w:ascii="宋体" w:hAnsi="宋体" w:eastAsia="宋体"/>
          <w:sz w:val="24"/>
          <w:szCs w:val="24"/>
        </w:rPr>
        <w:t>4：投标方涉及第三方专利和其他知识产权纠纷的，由投标方自行负责，与招标方无关。</w:t>
      </w:r>
    </w:p>
    <w:p>
      <w:pPr>
        <w:tabs>
          <w:tab w:val="left" w:pos="735"/>
        </w:tabs>
        <w:spacing w:after="0" w:line="360" w:lineRule="auto"/>
        <w:rPr>
          <w:rFonts w:hint="eastAsia" w:ascii="宋体" w:hAnsi="宋体" w:eastAsia="宋体"/>
          <w:sz w:val="24"/>
          <w:szCs w:val="24"/>
          <w:lang w:eastAsia="zh-CN"/>
        </w:rPr>
      </w:pPr>
      <w:r>
        <w:rPr>
          <w:rFonts w:hint="eastAsia" w:ascii="宋体" w:hAnsi="宋体" w:eastAsia="宋体" w:cs="Arial"/>
          <w:bCs/>
          <w:sz w:val="24"/>
          <w:szCs w:val="24"/>
          <w:lang w:eastAsia="zh-CN"/>
        </w:rPr>
        <w:t>注</w:t>
      </w:r>
      <w:r>
        <w:rPr>
          <w:rFonts w:hint="eastAsia" w:ascii="宋体" w:hAnsi="宋体" w:eastAsia="宋体" w:cs="Arial"/>
          <w:bCs/>
          <w:sz w:val="24"/>
          <w:szCs w:val="24"/>
          <w:lang w:val="en-US" w:eastAsia="zh-CN"/>
        </w:rPr>
        <w:t>5：</w:t>
      </w:r>
      <w:r>
        <w:rPr>
          <w:rFonts w:hint="eastAsia" w:ascii="宋体" w:hAnsi="宋体" w:eastAsia="宋体" w:cs="Arial"/>
          <w:bCs/>
          <w:sz w:val="24"/>
          <w:szCs w:val="24"/>
          <w:lang w:eastAsia="zh-CN"/>
        </w:rPr>
        <w:t>投标</w:t>
      </w:r>
      <w:r>
        <w:rPr>
          <w:rFonts w:hint="eastAsia" w:ascii="宋体" w:hAnsi="宋体" w:eastAsia="宋体" w:cs="Arial"/>
          <w:bCs/>
          <w:sz w:val="24"/>
          <w:szCs w:val="24"/>
        </w:rPr>
        <w:t>方有义务协助</w:t>
      </w:r>
      <w:r>
        <w:rPr>
          <w:rFonts w:hint="eastAsia" w:ascii="宋体" w:hAnsi="宋体" w:eastAsia="宋体" w:cs="Arial"/>
          <w:bCs/>
          <w:sz w:val="24"/>
          <w:szCs w:val="24"/>
          <w:lang w:eastAsia="zh-CN"/>
        </w:rPr>
        <w:t>招标</w:t>
      </w:r>
      <w:r>
        <w:rPr>
          <w:rFonts w:hint="eastAsia" w:ascii="宋体" w:hAnsi="宋体" w:eastAsia="宋体" w:cs="Arial"/>
          <w:bCs/>
          <w:sz w:val="24"/>
          <w:szCs w:val="24"/>
        </w:rPr>
        <w:t>方通过政府部门的各种验收</w:t>
      </w:r>
      <w:r>
        <w:rPr>
          <w:rFonts w:hint="eastAsia" w:ascii="宋体" w:hAnsi="宋体" w:eastAsia="宋体" w:cs="Arial"/>
          <w:bCs/>
          <w:sz w:val="24"/>
          <w:szCs w:val="24"/>
          <w:lang w:eastAsia="zh-CN"/>
        </w:rPr>
        <w:t>，投标</w:t>
      </w:r>
      <w:r>
        <w:rPr>
          <w:rFonts w:hint="eastAsia" w:ascii="宋体" w:hAnsi="宋体" w:eastAsia="宋体" w:cs="Arial"/>
          <w:bCs/>
          <w:sz w:val="24"/>
          <w:szCs w:val="24"/>
        </w:rPr>
        <w:t>方负责提供</w:t>
      </w:r>
      <w:r>
        <w:rPr>
          <w:rFonts w:hint="eastAsia" w:ascii="宋体" w:hAnsi="宋体" w:eastAsia="宋体" w:cs="Arial"/>
          <w:bCs/>
          <w:sz w:val="24"/>
          <w:szCs w:val="24"/>
          <w:lang w:eastAsia="zh-CN"/>
        </w:rPr>
        <w:t>可行性研究报告、初步设计，投标方负责</w:t>
      </w:r>
      <w:r>
        <w:rPr>
          <w:rFonts w:hint="eastAsia" w:ascii="宋体" w:hAnsi="宋体" w:eastAsia="宋体" w:cs="Arial"/>
          <w:bCs/>
          <w:sz w:val="24"/>
          <w:szCs w:val="24"/>
        </w:rPr>
        <w:t>消防、安全、</w:t>
      </w:r>
      <w:r>
        <w:rPr>
          <w:rFonts w:hint="eastAsia" w:ascii="宋体" w:hAnsi="宋体" w:eastAsia="宋体" w:cs="Arial"/>
          <w:bCs/>
          <w:sz w:val="24"/>
          <w:szCs w:val="24"/>
          <w:lang w:eastAsia="zh-CN"/>
        </w:rPr>
        <w:t>环保、职业卫生</w:t>
      </w:r>
      <w:r>
        <w:rPr>
          <w:rFonts w:hint="eastAsia" w:ascii="宋体" w:hAnsi="宋体" w:eastAsia="宋体" w:cs="Arial"/>
          <w:bCs/>
          <w:sz w:val="24"/>
          <w:szCs w:val="24"/>
        </w:rPr>
        <w:t>等专篇</w:t>
      </w:r>
      <w:r>
        <w:rPr>
          <w:rFonts w:hint="eastAsia" w:ascii="宋体" w:hAnsi="宋体" w:eastAsia="宋体" w:cs="Arial"/>
          <w:bCs/>
          <w:sz w:val="24"/>
          <w:szCs w:val="24"/>
          <w:lang w:eastAsia="zh-CN"/>
        </w:rPr>
        <w:t>资料的提供</w:t>
      </w:r>
      <w:r>
        <w:rPr>
          <w:rFonts w:hint="eastAsia" w:ascii="宋体" w:hAnsi="宋体" w:eastAsia="宋体" w:cs="Arial"/>
          <w:bCs/>
          <w:sz w:val="24"/>
          <w:szCs w:val="24"/>
        </w:rPr>
        <w:t>。</w:t>
      </w:r>
    </w:p>
    <w:p>
      <w:pPr>
        <w:spacing w:after="0" w:line="360" w:lineRule="auto"/>
        <w:rPr>
          <w:rFonts w:ascii="宋体" w:hAnsi="宋体" w:eastAsia="宋体"/>
          <w:b/>
          <w:sz w:val="24"/>
          <w:szCs w:val="24"/>
        </w:rPr>
      </w:pPr>
      <w:r>
        <w:rPr>
          <w:rFonts w:hint="eastAsia" w:ascii="宋体" w:hAnsi="宋体" w:eastAsia="宋体"/>
          <w:b/>
          <w:sz w:val="24"/>
          <w:szCs w:val="24"/>
        </w:rPr>
        <w:t>八、安装、调试与服务指导</w:t>
      </w:r>
    </w:p>
    <w:p>
      <w:pPr>
        <w:widowControl w:val="0"/>
        <w:adjustRightInd/>
        <w:snapToGrid/>
        <w:spacing w:after="0" w:line="360" w:lineRule="auto"/>
        <w:jc w:val="both"/>
        <w:rPr>
          <w:rFonts w:ascii="宋体" w:hAnsi="宋体" w:eastAsia="宋体"/>
          <w:b/>
          <w:sz w:val="24"/>
          <w:szCs w:val="24"/>
        </w:rPr>
      </w:pPr>
      <w:r>
        <w:rPr>
          <w:rFonts w:hint="eastAsia" w:ascii="宋体" w:hAnsi="宋体" w:eastAsia="宋体"/>
          <w:b/>
          <w:sz w:val="24"/>
          <w:szCs w:val="24"/>
        </w:rPr>
        <w:t>8.1 设备制作安装过程中的界点划分</w:t>
      </w:r>
    </w:p>
    <w:p>
      <w:pPr>
        <w:spacing w:after="0" w:line="360" w:lineRule="auto"/>
        <w:rPr>
          <w:rFonts w:ascii="宋体" w:hAnsi="宋体" w:eastAsia="宋体"/>
          <w:b/>
          <w:sz w:val="24"/>
          <w:szCs w:val="24"/>
        </w:rPr>
      </w:pPr>
      <w:r>
        <w:rPr>
          <w:rFonts w:hint="eastAsia" w:ascii="宋体" w:hAnsi="宋体" w:eastAsia="宋体"/>
          <w:b/>
          <w:sz w:val="24"/>
          <w:szCs w:val="24"/>
        </w:rPr>
        <w:t>8.1.1 招标方：</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rPr>
        <w:t>8.1.1.1 将动力电供至投标方电源总开关柜。</w:t>
      </w:r>
    </w:p>
    <w:p>
      <w:pPr>
        <w:spacing w:after="0" w:line="360" w:lineRule="auto"/>
        <w:rPr>
          <w:rFonts w:ascii="宋体" w:hAnsi="宋体" w:eastAsia="宋体" w:cs="宋体"/>
          <w:bCs/>
          <w:sz w:val="24"/>
          <w:szCs w:val="24"/>
        </w:rPr>
      </w:pPr>
      <w:r>
        <w:rPr>
          <w:rFonts w:hint="eastAsia" w:ascii="宋体" w:hAnsi="宋体" w:eastAsia="宋体" w:cs="宋体"/>
          <w:bCs/>
          <w:sz w:val="24"/>
          <w:szCs w:val="24"/>
        </w:rPr>
        <w:t xml:space="preserve">8.1.1.2 </w:t>
      </w:r>
      <w:r>
        <w:rPr>
          <w:rFonts w:hint="eastAsia" w:ascii="宋体" w:hAnsi="宋体" w:eastAsia="宋体"/>
          <w:sz w:val="24"/>
          <w:szCs w:val="24"/>
        </w:rPr>
        <w:t>安装过程中配合联系吊运等外协设备的使用。</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rPr>
        <w:t>8.1.1.3负责</w:t>
      </w:r>
      <w:r>
        <w:rPr>
          <w:rFonts w:hint="eastAsia" w:ascii="宋体" w:hAnsi="宋体" w:eastAsia="宋体" w:cs="宋体"/>
          <w:bCs/>
          <w:sz w:val="24"/>
          <w:szCs w:val="24"/>
          <w:lang w:eastAsia="zh-CN"/>
        </w:rPr>
        <w:t>提供各产品参数</w:t>
      </w:r>
      <w:r>
        <w:rPr>
          <w:rFonts w:hint="eastAsia" w:ascii="宋体" w:hAnsi="宋体" w:eastAsia="宋体" w:cs="宋体"/>
          <w:bCs/>
          <w:sz w:val="24"/>
          <w:szCs w:val="24"/>
        </w:rPr>
        <w:t>。</w:t>
      </w:r>
    </w:p>
    <w:p>
      <w:pPr>
        <w:spacing w:after="0" w:line="360" w:lineRule="auto"/>
        <w:rPr>
          <w:rFonts w:ascii="宋体" w:hAnsi="宋体" w:eastAsia="宋体"/>
          <w:sz w:val="24"/>
          <w:szCs w:val="24"/>
        </w:rPr>
      </w:pPr>
      <w:r>
        <w:rPr>
          <w:rFonts w:hint="eastAsia" w:ascii="宋体" w:hAnsi="宋体" w:eastAsia="宋体"/>
          <w:sz w:val="24"/>
          <w:szCs w:val="24"/>
        </w:rPr>
        <w:t>8.1.1.4安装过程中提供电力供应。</w:t>
      </w:r>
    </w:p>
    <w:p>
      <w:pPr>
        <w:spacing w:after="0" w:line="360" w:lineRule="auto"/>
        <w:rPr>
          <w:rFonts w:ascii="宋体" w:hAnsi="宋体" w:eastAsia="宋体"/>
          <w:b/>
          <w:bCs/>
          <w:sz w:val="24"/>
          <w:szCs w:val="24"/>
        </w:rPr>
      </w:pPr>
      <w:r>
        <w:rPr>
          <w:rFonts w:hint="eastAsia" w:ascii="宋体" w:hAnsi="宋体" w:eastAsia="宋体"/>
          <w:b/>
          <w:bCs/>
          <w:sz w:val="24"/>
          <w:szCs w:val="24"/>
        </w:rPr>
        <w:t>8.1.2投标方：</w:t>
      </w:r>
    </w:p>
    <w:p>
      <w:pPr>
        <w:spacing w:after="0" w:line="360" w:lineRule="auto"/>
        <w:rPr>
          <w:rFonts w:ascii="宋体" w:hAnsi="宋体" w:eastAsia="宋体"/>
          <w:sz w:val="24"/>
          <w:szCs w:val="24"/>
        </w:rPr>
      </w:pPr>
      <w:r>
        <w:rPr>
          <w:rFonts w:hint="eastAsia" w:ascii="宋体" w:hAnsi="宋体" w:eastAsia="宋体"/>
          <w:sz w:val="24"/>
          <w:szCs w:val="24"/>
        </w:rPr>
        <w:t>8.1.2.1 负责本系统所需的各设备的</w:t>
      </w:r>
      <w:r>
        <w:rPr>
          <w:rFonts w:hint="eastAsia" w:ascii="宋体" w:hAnsi="宋体" w:eastAsia="宋体"/>
          <w:sz w:val="24"/>
          <w:szCs w:val="24"/>
          <w:lang w:eastAsia="zh-CN"/>
        </w:rPr>
        <w:t>设计、</w:t>
      </w:r>
      <w:r>
        <w:rPr>
          <w:rFonts w:hint="eastAsia" w:ascii="宋体" w:hAnsi="宋体" w:eastAsia="宋体"/>
          <w:sz w:val="24"/>
          <w:szCs w:val="24"/>
        </w:rPr>
        <w:t>制作、安装、调试工作；</w:t>
      </w:r>
    </w:p>
    <w:p>
      <w:pPr>
        <w:spacing w:after="0" w:line="360" w:lineRule="auto"/>
        <w:rPr>
          <w:rFonts w:ascii="宋体" w:hAnsi="宋体" w:eastAsia="宋体"/>
          <w:sz w:val="24"/>
          <w:szCs w:val="24"/>
        </w:rPr>
      </w:pPr>
      <w:r>
        <w:rPr>
          <w:rFonts w:hint="eastAsia" w:ascii="宋体" w:hAnsi="宋体" w:eastAsia="宋体"/>
          <w:sz w:val="24"/>
          <w:szCs w:val="24"/>
        </w:rPr>
        <w:t>8.1.2.2 试车时全线</w:t>
      </w:r>
      <w:r>
        <w:rPr>
          <w:rFonts w:hint="eastAsia" w:ascii="宋体" w:hAnsi="宋体" w:eastAsia="宋体"/>
          <w:sz w:val="24"/>
          <w:szCs w:val="24"/>
          <w:lang w:eastAsia="zh-CN"/>
        </w:rPr>
        <w:t>液压油、</w:t>
      </w:r>
      <w:r>
        <w:rPr>
          <w:rFonts w:hint="eastAsia" w:ascii="宋体" w:hAnsi="宋体" w:eastAsia="宋体"/>
          <w:sz w:val="24"/>
          <w:szCs w:val="24"/>
        </w:rPr>
        <w:t>各润滑点用润滑油</w:t>
      </w:r>
      <w:r>
        <w:rPr>
          <w:rFonts w:hint="eastAsia" w:ascii="宋体" w:hAnsi="宋体" w:eastAsia="宋体"/>
          <w:sz w:val="24"/>
          <w:szCs w:val="24"/>
          <w:lang w:eastAsia="zh-CN"/>
        </w:rPr>
        <w:t>均</w:t>
      </w:r>
      <w:r>
        <w:rPr>
          <w:rFonts w:hint="eastAsia" w:ascii="宋体" w:hAnsi="宋体" w:eastAsia="宋体"/>
          <w:sz w:val="24"/>
          <w:szCs w:val="24"/>
        </w:rPr>
        <w:t>由投标方提供；</w:t>
      </w:r>
    </w:p>
    <w:p>
      <w:pPr>
        <w:spacing w:after="0" w:line="360" w:lineRule="auto"/>
        <w:rPr>
          <w:rFonts w:ascii="宋体" w:hAnsi="宋体" w:eastAsia="宋体"/>
          <w:sz w:val="24"/>
          <w:szCs w:val="24"/>
        </w:rPr>
      </w:pPr>
      <w:r>
        <w:rPr>
          <w:rFonts w:hint="eastAsia" w:ascii="宋体" w:hAnsi="宋体" w:eastAsia="宋体"/>
          <w:sz w:val="24"/>
          <w:szCs w:val="24"/>
        </w:rPr>
        <w:t>8.1.2.3 负责整线电控系统的安装</w:t>
      </w:r>
      <w:r>
        <w:rPr>
          <w:rFonts w:hint="eastAsia" w:ascii="宋体" w:hAnsi="宋体" w:eastAsia="宋体"/>
          <w:sz w:val="24"/>
          <w:szCs w:val="24"/>
          <w:lang w:eastAsia="zh-CN"/>
        </w:rPr>
        <w:t>、</w:t>
      </w:r>
      <w:r>
        <w:rPr>
          <w:rFonts w:hint="eastAsia" w:ascii="宋体" w:hAnsi="宋体" w:eastAsia="宋体"/>
          <w:sz w:val="24"/>
          <w:szCs w:val="24"/>
        </w:rPr>
        <w:t>调试；</w:t>
      </w:r>
    </w:p>
    <w:p>
      <w:pPr>
        <w:spacing w:after="0" w:line="360" w:lineRule="auto"/>
        <w:rPr>
          <w:rFonts w:ascii="宋体" w:hAnsi="宋体" w:eastAsia="宋体"/>
          <w:sz w:val="24"/>
          <w:szCs w:val="24"/>
        </w:rPr>
      </w:pPr>
      <w:r>
        <w:rPr>
          <w:rFonts w:hint="eastAsia" w:ascii="宋体" w:hAnsi="宋体" w:eastAsia="宋体"/>
          <w:sz w:val="24"/>
          <w:szCs w:val="24"/>
        </w:rPr>
        <w:t>8.1.2.4 对本系统的竣工进度负责；</w:t>
      </w:r>
    </w:p>
    <w:p>
      <w:pPr>
        <w:spacing w:after="0" w:line="360" w:lineRule="auto"/>
        <w:rPr>
          <w:rFonts w:ascii="宋体" w:hAnsi="宋体" w:eastAsia="宋体"/>
          <w:sz w:val="24"/>
          <w:szCs w:val="24"/>
        </w:rPr>
      </w:pPr>
      <w:r>
        <w:rPr>
          <w:rFonts w:hint="eastAsia" w:ascii="宋体" w:hAnsi="宋体" w:eastAsia="宋体"/>
          <w:sz w:val="24"/>
          <w:szCs w:val="24"/>
        </w:rPr>
        <w:t>8.1.2.5 严格执行《安装工艺操作规程》；</w:t>
      </w:r>
    </w:p>
    <w:p>
      <w:pPr>
        <w:spacing w:after="0" w:line="360" w:lineRule="auto"/>
        <w:rPr>
          <w:rFonts w:ascii="宋体" w:hAnsi="宋体" w:eastAsia="宋体"/>
          <w:sz w:val="24"/>
          <w:szCs w:val="24"/>
        </w:rPr>
      </w:pPr>
      <w:r>
        <w:rPr>
          <w:rFonts w:hint="eastAsia" w:ascii="宋体" w:hAnsi="宋体" w:eastAsia="宋体"/>
          <w:sz w:val="24"/>
          <w:szCs w:val="24"/>
        </w:rPr>
        <w:t>8.1.2.6 对现场施工安全负责；</w:t>
      </w:r>
    </w:p>
    <w:p>
      <w:pPr>
        <w:spacing w:after="0" w:line="360" w:lineRule="auto"/>
        <w:rPr>
          <w:rFonts w:ascii="宋体" w:hAnsi="宋体" w:eastAsia="宋体" w:cs="宋体"/>
          <w:sz w:val="24"/>
          <w:szCs w:val="24"/>
        </w:rPr>
      </w:pPr>
      <w:r>
        <w:rPr>
          <w:rFonts w:hint="eastAsia" w:ascii="宋体" w:hAnsi="宋体" w:eastAsia="宋体" w:cs="宋体"/>
          <w:sz w:val="24"/>
          <w:szCs w:val="24"/>
        </w:rPr>
        <w:t>8.1.2.7 严格遵守招标方的各项有关规章制度；</w:t>
      </w:r>
    </w:p>
    <w:p>
      <w:pPr>
        <w:spacing w:after="0" w:line="360" w:lineRule="auto"/>
        <w:rPr>
          <w:rFonts w:ascii="宋体" w:hAnsi="宋体" w:eastAsia="宋体" w:cs="宋体"/>
          <w:bCs/>
          <w:sz w:val="24"/>
          <w:szCs w:val="24"/>
        </w:rPr>
      </w:pPr>
      <w:r>
        <w:rPr>
          <w:rFonts w:hint="eastAsia" w:ascii="宋体" w:hAnsi="宋体" w:eastAsia="宋体" w:cs="宋体"/>
          <w:sz w:val="24"/>
          <w:szCs w:val="24"/>
        </w:rPr>
        <w:t>8.1.2.8 不得采用淘汰名录里的设备。</w:t>
      </w:r>
    </w:p>
    <w:p>
      <w:pPr>
        <w:spacing w:after="0" w:line="360" w:lineRule="auto"/>
        <w:rPr>
          <w:rFonts w:ascii="宋体" w:hAnsi="宋体" w:eastAsia="宋体"/>
          <w:b/>
          <w:sz w:val="24"/>
          <w:szCs w:val="24"/>
        </w:rPr>
      </w:pPr>
      <w:bookmarkStart w:id="10" w:name="_Toc509309699"/>
      <w:r>
        <w:rPr>
          <w:rFonts w:hint="eastAsia" w:ascii="宋体" w:hAnsi="宋体" w:eastAsia="宋体"/>
          <w:b/>
          <w:sz w:val="24"/>
          <w:szCs w:val="24"/>
        </w:rPr>
        <w:t>8.2培训</w:t>
      </w:r>
      <w:r>
        <w:rPr>
          <w:rFonts w:hint="eastAsia" w:ascii="宋体" w:hAnsi="宋体" w:eastAsia="宋体"/>
          <w:sz w:val="24"/>
          <w:szCs w:val="24"/>
        </w:rPr>
        <w:t>（在招标方）</w:t>
      </w:r>
    </w:p>
    <w:p>
      <w:pPr>
        <w:spacing w:after="0" w:line="360" w:lineRule="auto"/>
        <w:rPr>
          <w:rFonts w:ascii="宋体" w:hAnsi="宋体" w:eastAsia="宋体"/>
          <w:sz w:val="24"/>
          <w:szCs w:val="24"/>
        </w:rPr>
      </w:pPr>
      <w:r>
        <w:rPr>
          <w:rFonts w:hint="eastAsia" w:ascii="宋体" w:hAnsi="宋体" w:eastAsia="宋体"/>
          <w:sz w:val="24"/>
          <w:szCs w:val="24"/>
        </w:rPr>
        <w:t>8.2.1 介绍设备的主要结构、工作原理、操作方法及注意事项。</w:t>
      </w:r>
    </w:p>
    <w:p>
      <w:pPr>
        <w:spacing w:after="0" w:line="360" w:lineRule="auto"/>
        <w:rPr>
          <w:rFonts w:ascii="宋体" w:hAnsi="宋体" w:eastAsia="宋体"/>
          <w:sz w:val="24"/>
          <w:szCs w:val="24"/>
        </w:rPr>
      </w:pPr>
      <w:r>
        <w:rPr>
          <w:rFonts w:hint="eastAsia" w:ascii="宋体" w:hAnsi="宋体" w:eastAsia="宋体"/>
          <w:sz w:val="24"/>
          <w:szCs w:val="24"/>
        </w:rPr>
        <w:t>8.2.2 介绍工程系统工作流程、操作方法及注意事项。培训采取现场讲解与演示相结合的方法：</w:t>
      </w:r>
    </w:p>
    <w:p>
      <w:pPr>
        <w:spacing w:after="0" w:line="360" w:lineRule="auto"/>
        <w:rPr>
          <w:rFonts w:ascii="宋体" w:hAnsi="宋体" w:eastAsia="宋体"/>
          <w:sz w:val="24"/>
          <w:szCs w:val="24"/>
        </w:rPr>
      </w:pPr>
      <w:r>
        <w:rPr>
          <w:rFonts w:hint="eastAsia" w:ascii="宋体" w:hAnsi="宋体" w:eastAsia="宋体"/>
          <w:sz w:val="24"/>
          <w:szCs w:val="24"/>
        </w:rPr>
        <w:t>8.2.3调试时投标方安装调试人员对招标方相关工程技术人员及技术工人进行培训；</w:t>
      </w:r>
    </w:p>
    <w:p>
      <w:pPr>
        <w:spacing w:after="0" w:line="360" w:lineRule="auto"/>
        <w:rPr>
          <w:rFonts w:ascii="宋体" w:hAnsi="宋体" w:eastAsia="宋体"/>
          <w:color w:val="000000"/>
          <w:sz w:val="24"/>
          <w:szCs w:val="24"/>
        </w:rPr>
      </w:pPr>
      <w:r>
        <w:rPr>
          <w:rFonts w:hint="eastAsia" w:ascii="宋体" w:hAnsi="宋体" w:eastAsia="宋体"/>
          <w:sz w:val="24"/>
          <w:szCs w:val="24"/>
        </w:rPr>
        <w:t>8.2.4 投标方提供</w:t>
      </w:r>
      <w:r>
        <w:rPr>
          <w:rFonts w:hint="eastAsia" w:ascii="宋体" w:hAnsi="宋体" w:eastAsia="宋体"/>
          <w:sz w:val="24"/>
          <w:szCs w:val="24"/>
          <w:lang w:eastAsia="zh-CN"/>
        </w:rPr>
        <w:t>该系统中各设备</w:t>
      </w:r>
      <w:r>
        <w:rPr>
          <w:rFonts w:hint="eastAsia" w:ascii="宋体" w:hAnsi="宋体" w:eastAsia="宋体"/>
          <w:sz w:val="24"/>
          <w:szCs w:val="24"/>
        </w:rPr>
        <w:t>使用说明书及电控使用说明书，并编制设备安全操作规程、设备操作规程。</w:t>
      </w:r>
      <w:r>
        <w:rPr>
          <w:rFonts w:hint="eastAsia" w:ascii="宋体" w:hAnsi="宋体" w:eastAsia="宋体"/>
          <w:color w:val="000000"/>
          <w:sz w:val="24"/>
          <w:szCs w:val="24"/>
        </w:rPr>
        <w:t xml:space="preserve"> </w:t>
      </w:r>
    </w:p>
    <w:p>
      <w:pPr>
        <w:spacing w:after="0" w:line="360" w:lineRule="auto"/>
        <w:rPr>
          <w:rFonts w:ascii="宋体" w:hAnsi="宋体" w:eastAsia="宋体"/>
          <w:b/>
          <w:sz w:val="24"/>
          <w:szCs w:val="24"/>
        </w:rPr>
      </w:pPr>
      <w:r>
        <w:rPr>
          <w:rFonts w:hint="eastAsia" w:ascii="宋体" w:hAnsi="宋体" w:eastAsia="宋体"/>
          <w:b/>
          <w:color w:val="000000"/>
          <w:sz w:val="24"/>
          <w:szCs w:val="24"/>
        </w:rPr>
        <w:t>8.3</w:t>
      </w:r>
      <w:r>
        <w:rPr>
          <w:rFonts w:hint="eastAsia" w:ascii="宋体" w:hAnsi="宋体" w:eastAsia="宋体"/>
          <w:b/>
          <w:sz w:val="24"/>
          <w:szCs w:val="24"/>
        </w:rPr>
        <w:t xml:space="preserve"> 备件和易损件技术要求</w:t>
      </w:r>
      <w:bookmarkEnd w:id="10"/>
    </w:p>
    <w:p>
      <w:pPr>
        <w:spacing w:after="0" w:line="360" w:lineRule="auto"/>
        <w:rPr>
          <w:rFonts w:ascii="宋体" w:hAnsi="宋体" w:eastAsia="宋体" w:cs="宋体"/>
          <w:bCs/>
          <w:sz w:val="24"/>
          <w:szCs w:val="24"/>
        </w:rPr>
      </w:pPr>
      <w:r>
        <w:rPr>
          <w:rFonts w:hint="eastAsia" w:ascii="宋体" w:hAnsi="宋体" w:eastAsia="宋体" w:cs="宋体"/>
          <w:bCs/>
          <w:sz w:val="24"/>
          <w:szCs w:val="24"/>
        </w:rPr>
        <w:t>投标方需向招标方提供设备标准配置备件及易损件清单。易损件清单须注明名称、规格型号、数量、优惠单价及生产厂家和公司。</w:t>
      </w:r>
    </w:p>
    <w:p>
      <w:pPr>
        <w:spacing w:after="0" w:line="360" w:lineRule="auto"/>
        <w:rPr>
          <w:rFonts w:ascii="宋体" w:hAnsi="宋体" w:eastAsia="宋体"/>
          <w:b/>
          <w:sz w:val="24"/>
          <w:szCs w:val="24"/>
        </w:rPr>
      </w:pPr>
      <w:bookmarkStart w:id="11" w:name="_Toc509309704"/>
      <w:r>
        <w:rPr>
          <w:rFonts w:hint="eastAsia" w:ascii="宋体" w:hAnsi="宋体" w:eastAsia="宋体"/>
          <w:b/>
          <w:sz w:val="24"/>
          <w:szCs w:val="24"/>
        </w:rPr>
        <w:t>九、设备包装、发运及安装</w:t>
      </w:r>
      <w:bookmarkEnd w:id="11"/>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rPr>
        <w:t>9.1 包装规定：适于长途运输，应防潮、防锈、防震等，适于陆地运输和整体吊装。</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rPr>
        <w:t>9.2 运输规定：采取陆运方式到招标方指定地点。</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rPr>
        <w:t>9.3 到货后的检查核对规定：按合同、技术协议、装箱清单。</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rPr>
        <w:t>9.4 设备安装调试由投标方负责。</w:t>
      </w:r>
    </w:p>
    <w:p>
      <w:pPr>
        <w:spacing w:after="0" w:line="360" w:lineRule="auto"/>
        <w:rPr>
          <w:rFonts w:ascii="宋体" w:hAnsi="宋体" w:eastAsia="宋体"/>
          <w:b/>
          <w:sz w:val="24"/>
          <w:szCs w:val="24"/>
        </w:rPr>
      </w:pPr>
      <w:r>
        <w:rPr>
          <w:rFonts w:hint="eastAsia" w:ascii="宋体" w:hAnsi="宋体" w:eastAsia="宋体"/>
          <w:b/>
          <w:sz w:val="24"/>
          <w:szCs w:val="24"/>
        </w:rPr>
        <w:t>十、售后服务</w:t>
      </w:r>
    </w:p>
    <w:p>
      <w:pPr>
        <w:spacing w:after="0" w:line="360" w:lineRule="auto"/>
        <w:rPr>
          <w:rFonts w:ascii="宋体" w:hAnsi="宋体" w:eastAsia="宋体"/>
          <w:sz w:val="24"/>
        </w:rPr>
      </w:pPr>
      <w:r>
        <w:rPr>
          <w:rFonts w:hint="eastAsia" w:ascii="宋体" w:hAnsi="宋体" w:eastAsia="宋体"/>
          <w:sz w:val="24"/>
        </w:rPr>
        <w:t>10.1为保证</w:t>
      </w:r>
      <w:r>
        <w:rPr>
          <w:rFonts w:hint="eastAsia" w:ascii="宋体" w:hAnsi="宋体" w:eastAsia="宋体"/>
          <w:sz w:val="24"/>
          <w:lang w:eastAsia="zh-CN"/>
        </w:rPr>
        <w:t>焦炉上升管余热回收项目</w:t>
      </w:r>
      <w:r>
        <w:rPr>
          <w:rFonts w:hint="eastAsia" w:ascii="宋体" w:hAnsi="宋体" w:eastAsia="宋体"/>
          <w:sz w:val="24"/>
        </w:rPr>
        <w:t>的良好运行，为生产提供必要的设备保障，投标方需派技术全面的技术人员进行指导。投标方保证所供货物是全新的、未使用过</w:t>
      </w:r>
      <w:r>
        <w:rPr>
          <w:rFonts w:hint="eastAsia" w:ascii="宋体" w:hAnsi="宋体" w:eastAsia="宋体"/>
          <w:sz w:val="24"/>
          <w:lang w:eastAsia="zh-CN"/>
        </w:rPr>
        <w:t>的</w:t>
      </w:r>
      <w:r>
        <w:rPr>
          <w:rFonts w:hint="eastAsia" w:ascii="宋体" w:hAnsi="宋体" w:eastAsia="宋体"/>
          <w:sz w:val="24"/>
        </w:rPr>
        <w:t>，并完全符合合同规定的质量、规格和性能的要求，并对由于制造及材料缺陷而产生的故障负责。投标方所交产品的数量、规格、型号、质量等不符合同规定的，由投标方负责包换或包退，并承担调换或退货而支付的实际费用。因调换逾期者按逾期交货处理。在质保期内投标方收到通知应免费维修或更换有缺陷的货物或部件。交货时投标方应提供产品质量合格证明给招标方。</w:t>
      </w:r>
    </w:p>
    <w:p>
      <w:pPr>
        <w:spacing w:after="0" w:line="360" w:lineRule="auto"/>
        <w:rPr>
          <w:rFonts w:ascii="宋体" w:hAnsi="宋体" w:eastAsia="宋体"/>
          <w:sz w:val="24"/>
          <w:szCs w:val="24"/>
        </w:rPr>
      </w:pPr>
      <w:r>
        <w:rPr>
          <w:rFonts w:hint="eastAsia" w:ascii="宋体" w:hAnsi="宋体" w:eastAsia="宋体"/>
          <w:sz w:val="24"/>
          <w:szCs w:val="24"/>
        </w:rPr>
        <w:t>10.2</w:t>
      </w:r>
      <w:r>
        <w:rPr>
          <w:rFonts w:ascii="宋体" w:hAnsi="宋体" w:eastAsia="宋体"/>
          <w:sz w:val="24"/>
          <w:szCs w:val="24"/>
        </w:rPr>
        <w:t>投标方保证供货的所有设备、材料等(包括投标方的外购件在内)均符合技术说明书的规定。</w:t>
      </w:r>
    </w:p>
    <w:p>
      <w:pPr>
        <w:spacing w:after="0" w:line="360" w:lineRule="auto"/>
        <w:rPr>
          <w:rFonts w:ascii="宋体" w:hAnsi="宋体" w:eastAsia="宋体"/>
          <w:sz w:val="24"/>
          <w:szCs w:val="24"/>
        </w:rPr>
      </w:pPr>
      <w:bookmarkStart w:id="12" w:name="_Hlk1688817"/>
      <w:r>
        <w:rPr>
          <w:rFonts w:hint="eastAsia" w:ascii="宋体" w:hAnsi="宋体" w:eastAsia="宋体"/>
          <w:sz w:val="24"/>
          <w:szCs w:val="24"/>
        </w:rPr>
        <w:t>10.3设备质保期为招标方签署项目验收合格确认单后</w:t>
      </w:r>
      <w:r>
        <w:rPr>
          <w:rFonts w:ascii="宋体" w:hAnsi="宋体" w:eastAsia="宋体"/>
          <w:sz w:val="24"/>
          <w:szCs w:val="24"/>
        </w:rPr>
        <w:t>12</w:t>
      </w:r>
      <w:r>
        <w:rPr>
          <w:rFonts w:hint="eastAsia" w:ascii="宋体" w:hAnsi="宋体" w:eastAsia="宋体"/>
          <w:sz w:val="24"/>
          <w:szCs w:val="24"/>
        </w:rPr>
        <w:t>个月。</w:t>
      </w:r>
      <w:bookmarkEnd w:id="12"/>
      <w:r>
        <w:rPr>
          <w:rFonts w:hint="eastAsia" w:ascii="宋体" w:hAnsi="宋体" w:eastAsia="宋体" w:cs="微软雅黑"/>
          <w:color w:val="000000"/>
          <w:sz w:val="24"/>
          <w:szCs w:val="24"/>
          <w:lang w:val="zh-CN"/>
        </w:rPr>
        <w:t>因投标方原因导致修理或更换设备、部件的，则质保期为修理或更换后的设备、部件投入使用后</w:t>
      </w:r>
      <w:r>
        <w:rPr>
          <w:rFonts w:ascii="宋体" w:hAnsi="宋体" w:eastAsia="宋体" w:cs="微软雅黑"/>
          <w:color w:val="000000"/>
          <w:sz w:val="24"/>
          <w:szCs w:val="24"/>
          <w:lang w:val="zh-CN"/>
        </w:rPr>
        <w:t>12</w:t>
      </w:r>
      <w:r>
        <w:rPr>
          <w:rFonts w:hint="eastAsia" w:ascii="宋体" w:hAnsi="宋体" w:eastAsia="宋体" w:cs="微软雅黑"/>
          <w:color w:val="000000"/>
          <w:sz w:val="24"/>
          <w:szCs w:val="24"/>
          <w:lang w:val="zh-CN"/>
        </w:rPr>
        <w:t>个月。</w:t>
      </w:r>
    </w:p>
    <w:p>
      <w:pPr>
        <w:spacing w:after="0" w:line="360" w:lineRule="auto"/>
        <w:rPr>
          <w:rFonts w:ascii="宋体" w:hAnsi="宋体" w:eastAsia="宋体"/>
          <w:sz w:val="24"/>
          <w:szCs w:val="24"/>
        </w:rPr>
      </w:pPr>
      <w:r>
        <w:rPr>
          <w:rFonts w:hint="eastAsia" w:ascii="宋体" w:hAnsi="宋体" w:eastAsia="宋体"/>
          <w:sz w:val="24"/>
          <w:szCs w:val="24"/>
        </w:rPr>
        <w:t>10.4</w:t>
      </w:r>
      <w:r>
        <w:rPr>
          <w:rFonts w:ascii="宋体" w:hAnsi="宋体" w:eastAsia="宋体"/>
          <w:sz w:val="24"/>
          <w:szCs w:val="24"/>
        </w:rPr>
        <w:t>质保期内免费维护服务内容如下：</w:t>
      </w:r>
    </w:p>
    <w:p>
      <w:pPr>
        <w:spacing w:after="0" w:line="360" w:lineRule="auto"/>
        <w:rPr>
          <w:rFonts w:ascii="宋体" w:hAnsi="宋体" w:eastAsia="宋体"/>
          <w:sz w:val="24"/>
          <w:szCs w:val="24"/>
        </w:rPr>
      </w:pPr>
      <w:r>
        <w:rPr>
          <w:rFonts w:hint="eastAsia" w:ascii="宋体" w:hAnsi="宋体" w:eastAsia="宋体"/>
          <w:sz w:val="24"/>
          <w:szCs w:val="24"/>
        </w:rPr>
        <w:t>10.4.1</w:t>
      </w:r>
      <w:r>
        <w:rPr>
          <w:rFonts w:ascii="宋体" w:hAnsi="宋体" w:eastAsia="宋体"/>
          <w:sz w:val="24"/>
          <w:szCs w:val="24"/>
        </w:rPr>
        <w:t>故障处理：诊断、解决</w:t>
      </w:r>
      <w:r>
        <w:rPr>
          <w:rFonts w:hint="eastAsia" w:ascii="宋体" w:hAnsi="宋体" w:eastAsia="宋体"/>
          <w:sz w:val="24"/>
          <w:szCs w:val="24"/>
        </w:rPr>
        <w:t>设备运行</w:t>
      </w:r>
      <w:r>
        <w:rPr>
          <w:rFonts w:ascii="宋体" w:hAnsi="宋体" w:eastAsia="宋体"/>
          <w:sz w:val="24"/>
          <w:szCs w:val="24"/>
        </w:rPr>
        <w:t>故障，对程序错误及缺陷进行</w:t>
      </w:r>
      <w:r>
        <w:rPr>
          <w:rFonts w:hint="eastAsia" w:ascii="宋体" w:hAnsi="宋体" w:eastAsia="宋体"/>
          <w:sz w:val="24"/>
          <w:szCs w:val="24"/>
        </w:rPr>
        <w:t>排查处理</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eastAsia="宋体"/>
          <w:sz w:val="24"/>
          <w:szCs w:val="24"/>
        </w:rPr>
        <w:t xml:space="preserve">10.4.2 </w:t>
      </w:r>
      <w:r>
        <w:rPr>
          <w:rFonts w:ascii="宋体" w:hAnsi="宋体" w:eastAsia="宋体"/>
          <w:sz w:val="24"/>
          <w:szCs w:val="24"/>
        </w:rPr>
        <w:t>技术咨询：解答用户使用中的常见问题。</w:t>
      </w:r>
    </w:p>
    <w:p>
      <w:pPr>
        <w:spacing w:after="0" w:line="360" w:lineRule="auto"/>
        <w:rPr>
          <w:rFonts w:ascii="宋体" w:hAnsi="宋体" w:eastAsia="宋体"/>
          <w:sz w:val="24"/>
          <w:szCs w:val="24"/>
        </w:rPr>
      </w:pPr>
      <w:r>
        <w:rPr>
          <w:rFonts w:hint="eastAsia" w:ascii="宋体" w:hAnsi="宋体" w:eastAsia="宋体"/>
          <w:sz w:val="24"/>
          <w:szCs w:val="24"/>
        </w:rPr>
        <w:t>10.4.3 定期检修：投标方需在质保期内为招标方提供检修、检查、保养服务。</w:t>
      </w:r>
    </w:p>
    <w:p>
      <w:pPr>
        <w:spacing w:after="0" w:line="360" w:lineRule="auto"/>
        <w:rPr>
          <w:rFonts w:ascii="宋体" w:hAnsi="宋体" w:eastAsia="宋体"/>
          <w:sz w:val="24"/>
          <w:szCs w:val="24"/>
        </w:rPr>
      </w:pPr>
      <w:r>
        <w:rPr>
          <w:rFonts w:ascii="宋体" w:hAnsi="宋体" w:eastAsia="宋体"/>
          <w:sz w:val="24"/>
          <w:szCs w:val="24"/>
        </w:rPr>
        <w:t>以上维护服务，投标方将在接到</w:t>
      </w:r>
      <w:r>
        <w:rPr>
          <w:rFonts w:hint="eastAsia" w:ascii="宋体" w:hAnsi="宋体" w:eastAsia="宋体"/>
          <w:sz w:val="24"/>
          <w:szCs w:val="24"/>
        </w:rPr>
        <w:t>招标方</w:t>
      </w:r>
      <w:r>
        <w:rPr>
          <w:rFonts w:ascii="宋体" w:hAnsi="宋体" w:eastAsia="宋体"/>
          <w:sz w:val="24"/>
          <w:szCs w:val="24"/>
        </w:rPr>
        <w:t>通知后</w:t>
      </w:r>
      <w:r>
        <w:rPr>
          <w:rFonts w:hint="eastAsia" w:ascii="宋体" w:hAnsi="宋体" w:eastAsia="宋体"/>
          <w:sz w:val="24"/>
          <w:szCs w:val="24"/>
        </w:rPr>
        <w:t>2</w:t>
      </w:r>
      <w:r>
        <w:rPr>
          <w:rFonts w:ascii="宋体" w:hAnsi="宋体" w:eastAsia="宋体"/>
          <w:sz w:val="24"/>
          <w:szCs w:val="24"/>
        </w:rPr>
        <w:t>小时内通过电话、传真、E-Mail等形式进行</w:t>
      </w:r>
      <w:r>
        <w:rPr>
          <w:rFonts w:hint="eastAsia" w:ascii="宋体" w:hAnsi="宋体" w:eastAsia="宋体"/>
          <w:sz w:val="24"/>
          <w:szCs w:val="24"/>
        </w:rPr>
        <w:t>故障排查，若确需现场排除故障投标方24小时内到达现场，直至故障排除为止。故障不排除，本系统无法正常运行，人员不得撤离。</w:t>
      </w:r>
    </w:p>
    <w:p>
      <w:pPr>
        <w:spacing w:after="0" w:line="360" w:lineRule="auto"/>
        <w:rPr>
          <w:rFonts w:ascii="宋体" w:hAnsi="宋体" w:eastAsia="宋体"/>
          <w:sz w:val="24"/>
          <w:szCs w:val="24"/>
        </w:rPr>
      </w:pPr>
      <w:r>
        <w:rPr>
          <w:rFonts w:hint="eastAsia" w:ascii="宋体" w:hAnsi="宋体" w:eastAsia="宋体"/>
          <w:sz w:val="24"/>
          <w:szCs w:val="24"/>
        </w:rPr>
        <w:t xml:space="preserve">10.4.4 </w:t>
      </w:r>
      <w:r>
        <w:rPr>
          <w:rFonts w:ascii="宋体" w:hAnsi="宋体" w:eastAsia="宋体"/>
          <w:sz w:val="24"/>
          <w:szCs w:val="24"/>
        </w:rPr>
        <w:t>产品在合同规定的质保期内，发生损坏和缺陷，或者由于响应错误、材料、工艺、制造、装配、发送等原因造成的损坏，或是不满足合同的要求，招标方书面方式通知投标方，投标方将免费更换这些有损坏和有缺陷的设备；</w:t>
      </w:r>
      <w:r>
        <w:rPr>
          <w:rFonts w:hint="eastAsia" w:ascii="宋体" w:hAnsi="宋体" w:eastAsia="宋体"/>
          <w:sz w:val="24"/>
        </w:rPr>
        <w:t>质保期外的零配件更换，实行成本价并及时提供。</w:t>
      </w:r>
    </w:p>
    <w:p>
      <w:pPr>
        <w:spacing w:after="0" w:line="360" w:lineRule="auto"/>
        <w:rPr>
          <w:rFonts w:ascii="宋体" w:hAnsi="宋体" w:eastAsia="宋体"/>
          <w:sz w:val="24"/>
          <w:szCs w:val="24"/>
        </w:rPr>
      </w:pPr>
      <w:r>
        <w:rPr>
          <w:rFonts w:hint="eastAsia" w:ascii="宋体" w:hAnsi="宋体" w:eastAsia="宋体"/>
          <w:sz w:val="24"/>
          <w:szCs w:val="24"/>
        </w:rPr>
        <w:t xml:space="preserve">10.4.5 </w:t>
      </w:r>
      <w:r>
        <w:rPr>
          <w:rFonts w:ascii="宋体" w:hAnsi="宋体" w:eastAsia="宋体"/>
          <w:sz w:val="24"/>
          <w:szCs w:val="24"/>
        </w:rPr>
        <w:t>在接到招标方通知后，投标方虽经努力改进，但仍不满足合同要求，则招标方可按合同处理或更换这些设备，由此引起的费用由投标方承担。</w:t>
      </w:r>
    </w:p>
    <w:p>
      <w:pPr>
        <w:spacing w:after="0" w:line="360" w:lineRule="auto"/>
        <w:rPr>
          <w:rFonts w:ascii="宋体" w:hAnsi="宋体" w:eastAsia="宋体"/>
          <w:sz w:val="24"/>
          <w:szCs w:val="24"/>
        </w:rPr>
      </w:pPr>
      <w:r>
        <w:rPr>
          <w:rFonts w:hint="eastAsia" w:ascii="宋体" w:hAnsi="宋体" w:eastAsia="宋体"/>
          <w:sz w:val="24"/>
          <w:szCs w:val="24"/>
        </w:rPr>
        <w:t xml:space="preserve">10.4.6 </w:t>
      </w:r>
      <w:r>
        <w:rPr>
          <w:rFonts w:ascii="宋体" w:hAnsi="宋体" w:eastAsia="宋体"/>
          <w:sz w:val="24"/>
          <w:szCs w:val="24"/>
        </w:rPr>
        <w:t>质保期内设备经维修或更换后仍无法达到质量标准</w:t>
      </w:r>
      <w:r>
        <w:rPr>
          <w:rFonts w:hint="eastAsia" w:ascii="宋体" w:hAnsi="宋体" w:eastAsia="宋体"/>
          <w:sz w:val="24"/>
          <w:szCs w:val="24"/>
        </w:rPr>
        <w:t>，招标方有权退货并向投标方索赔</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eastAsia="宋体"/>
          <w:sz w:val="24"/>
          <w:szCs w:val="24"/>
        </w:rPr>
        <w:t>10.4.7 质保期内投标方借故推脱或无理由拒绝招标方提出的维修、更换服务请求，招标方可以自行解决。维修工程量和维修费用经双方确认后（投标方得到招标方通知后，7日内投标方不配合确认的视为投标方接受），从质保金内扣除。</w:t>
      </w:r>
    </w:p>
    <w:p>
      <w:pPr>
        <w:spacing w:after="0" w:line="360" w:lineRule="auto"/>
        <w:rPr>
          <w:rFonts w:ascii="宋体" w:hAnsi="宋体" w:eastAsia="宋体"/>
          <w:sz w:val="24"/>
          <w:szCs w:val="24"/>
        </w:rPr>
      </w:pPr>
      <w:r>
        <w:rPr>
          <w:rFonts w:hint="eastAsia" w:ascii="宋体" w:hAnsi="宋体" w:eastAsia="宋体"/>
          <w:sz w:val="24"/>
          <w:szCs w:val="24"/>
        </w:rPr>
        <w:t>10.4.8 质保期内若因招标方原因造成的设备损坏，</w:t>
      </w:r>
      <w:r>
        <w:rPr>
          <w:rFonts w:ascii="宋体" w:hAnsi="宋体" w:eastAsia="宋体"/>
          <w:sz w:val="24"/>
          <w:szCs w:val="24"/>
        </w:rPr>
        <w:t>投标方对</w:t>
      </w:r>
      <w:r>
        <w:rPr>
          <w:rFonts w:hint="eastAsia" w:ascii="宋体" w:hAnsi="宋体" w:eastAsia="宋体"/>
          <w:sz w:val="24"/>
          <w:szCs w:val="24"/>
        </w:rPr>
        <w:t>治理</w:t>
      </w:r>
      <w:r>
        <w:rPr>
          <w:rFonts w:ascii="宋体" w:hAnsi="宋体" w:eastAsia="宋体"/>
          <w:sz w:val="24"/>
          <w:szCs w:val="24"/>
        </w:rPr>
        <w:t>设备的维修、更换服务</w:t>
      </w:r>
      <w:r>
        <w:rPr>
          <w:rFonts w:hint="eastAsia" w:ascii="宋体" w:hAnsi="宋体" w:eastAsia="宋体"/>
          <w:sz w:val="24"/>
          <w:szCs w:val="24"/>
          <w:lang w:eastAsia="zh-CN"/>
        </w:rPr>
        <w:t>，</w:t>
      </w:r>
      <w:r>
        <w:rPr>
          <w:rFonts w:hint="eastAsia" w:ascii="宋体" w:hAnsi="宋体" w:eastAsia="宋体"/>
          <w:sz w:val="24"/>
          <w:szCs w:val="24"/>
        </w:rPr>
        <w:t>只</w:t>
      </w:r>
      <w:r>
        <w:rPr>
          <w:rFonts w:ascii="宋体" w:hAnsi="宋体" w:eastAsia="宋体"/>
          <w:sz w:val="24"/>
          <w:szCs w:val="24"/>
        </w:rPr>
        <w:t>收取成本费</w:t>
      </w:r>
      <w:r>
        <w:rPr>
          <w:rFonts w:hint="eastAsia" w:ascii="宋体" w:hAnsi="宋体" w:eastAsia="宋体"/>
          <w:sz w:val="24"/>
          <w:szCs w:val="24"/>
        </w:rPr>
        <w:t>。</w:t>
      </w:r>
    </w:p>
    <w:p>
      <w:pPr>
        <w:spacing w:after="0" w:line="360" w:lineRule="auto"/>
        <w:rPr>
          <w:rFonts w:ascii="宋体" w:hAnsi="宋体" w:eastAsia="宋体"/>
          <w:b/>
          <w:bCs/>
          <w:color w:val="000000"/>
          <w:sz w:val="24"/>
          <w:szCs w:val="24"/>
        </w:rPr>
      </w:pPr>
      <w:r>
        <w:rPr>
          <w:rFonts w:hint="eastAsia" w:ascii="宋体" w:hAnsi="宋体" w:eastAsia="宋体"/>
          <w:b/>
          <w:bCs/>
          <w:color w:val="000000"/>
          <w:sz w:val="24"/>
          <w:szCs w:val="24"/>
        </w:rPr>
        <w:t>十一、投标书内容和要求</w:t>
      </w:r>
    </w:p>
    <w:p>
      <w:pPr>
        <w:tabs>
          <w:tab w:val="left" w:pos="735"/>
        </w:tabs>
        <w:spacing w:after="0" w:line="360" w:lineRule="auto"/>
        <w:rPr>
          <w:rFonts w:ascii="宋体" w:hAnsi="宋体" w:eastAsia="宋体" w:cs="宋体"/>
          <w:sz w:val="24"/>
          <w:szCs w:val="24"/>
        </w:rPr>
      </w:pPr>
      <w:r>
        <w:rPr>
          <w:rFonts w:hint="eastAsia" w:ascii="宋体" w:hAnsi="宋体" w:eastAsia="宋体" w:cs="宋体"/>
          <w:bCs/>
          <w:sz w:val="24"/>
          <w:szCs w:val="24"/>
        </w:rPr>
        <w:t>11.1</w:t>
      </w:r>
      <w:r>
        <w:rPr>
          <w:rFonts w:hint="eastAsia" w:ascii="宋体" w:hAnsi="宋体" w:eastAsia="宋体" w:cs="宋体"/>
          <w:sz w:val="24"/>
          <w:szCs w:val="24"/>
        </w:rPr>
        <w:t>投标文件中必须包含以下材料：</w:t>
      </w:r>
    </w:p>
    <w:p>
      <w:pPr>
        <w:spacing w:after="0" w:line="360" w:lineRule="auto"/>
        <w:rPr>
          <w:rFonts w:ascii="宋体" w:hAnsi="宋体" w:eastAsia="宋体" w:cs="宋体"/>
          <w:sz w:val="24"/>
          <w:szCs w:val="24"/>
        </w:rPr>
      </w:pPr>
      <w:r>
        <w:rPr>
          <w:rFonts w:hint="eastAsia" w:ascii="宋体" w:hAnsi="宋体" w:eastAsia="宋体" w:cs="宋体"/>
          <w:sz w:val="24"/>
          <w:szCs w:val="24"/>
        </w:rPr>
        <w:t>11.1.1 整个改造系统的详细图纸资料。</w:t>
      </w:r>
    </w:p>
    <w:p>
      <w:pPr>
        <w:tabs>
          <w:tab w:val="left" w:pos="735"/>
        </w:tabs>
        <w:spacing w:after="0" w:line="360" w:lineRule="auto"/>
        <w:rPr>
          <w:rFonts w:ascii="宋体" w:hAnsi="宋体" w:eastAsia="宋体" w:cs="宋体"/>
          <w:sz w:val="24"/>
          <w:szCs w:val="24"/>
        </w:rPr>
      </w:pPr>
      <w:r>
        <w:rPr>
          <w:rFonts w:hint="eastAsia" w:ascii="宋体" w:hAnsi="宋体" w:eastAsia="宋体" w:cs="宋体"/>
          <w:sz w:val="24"/>
          <w:szCs w:val="24"/>
        </w:rPr>
        <w:t>11.1.2 投标报价：投标报价必须分项报价，供货、安装分别单列。主要设备报价清单按给定的格式编写，必须要列出生产厂家。</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2296"/>
        <w:gridCol w:w="851"/>
        <w:gridCol w:w="708"/>
        <w:gridCol w:w="709"/>
        <w:gridCol w:w="709"/>
        <w:gridCol w:w="709"/>
        <w:gridCol w:w="878"/>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序号</w:t>
            </w:r>
          </w:p>
        </w:tc>
        <w:tc>
          <w:tcPr>
            <w:tcW w:w="2296"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设备名称</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规格型号</w:t>
            </w: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材质</w:t>
            </w: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数量</w:t>
            </w: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单价</w:t>
            </w: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总价</w:t>
            </w: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生产厂家</w:t>
            </w: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2296" w:type="dxa"/>
            <w:tcBorders>
              <w:top w:val="single" w:color="auto" w:sz="4" w:space="0"/>
              <w:left w:val="nil"/>
              <w:bottom w:val="single" w:color="auto" w:sz="4" w:space="0"/>
              <w:right w:val="single" w:color="auto" w:sz="4" w:space="0"/>
            </w:tcBorders>
            <w:vAlign w:val="center"/>
          </w:tcPr>
          <w:p>
            <w:pPr>
              <w:spacing w:after="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上升管蒸发器</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2</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上升管过热器</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汽包本体</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除盐水泵</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除氧给水泵</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6</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强制循环泵</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7</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工控机</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8</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ascii="宋体" w:hAnsi="宋体" w:eastAsia="宋体" w:cs="宋体"/>
                <w:color w:val="000000"/>
                <w:sz w:val="24"/>
                <w:szCs w:val="24"/>
                <w:highlight w:val="cyan"/>
              </w:rPr>
            </w:pPr>
            <w:r>
              <w:rPr>
                <w:rFonts w:hint="eastAsia" w:ascii="宋体" w:hAnsi="宋体" w:eastAsia="宋体" w:cs="宋体"/>
                <w:color w:val="000000"/>
                <w:sz w:val="24"/>
                <w:szCs w:val="24"/>
                <w:lang w:eastAsia="zh-CN"/>
              </w:rPr>
              <w:t>运</w:t>
            </w:r>
            <w:r>
              <w:rPr>
                <w:rFonts w:hint="eastAsia" w:ascii="宋体" w:hAnsi="宋体" w:eastAsia="宋体" w:cs="宋体"/>
                <w:color w:val="000000"/>
                <w:sz w:val="24"/>
                <w:szCs w:val="24"/>
              </w:rPr>
              <w:t>输及保险</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9</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上升管底座</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10</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上升管水封装置</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安装及调试</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296" w:type="dxa"/>
            <w:tcBorders>
              <w:top w:val="single" w:color="auto" w:sz="4" w:space="0"/>
              <w:left w:val="nil"/>
              <w:bottom w:val="single" w:color="auto" w:sz="4" w:space="0"/>
              <w:right w:val="single" w:color="auto" w:sz="4" w:space="0"/>
            </w:tcBorders>
            <w:vAlign w:val="center"/>
          </w:tcPr>
          <w:p>
            <w:pPr>
              <w:spacing w:after="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现场培训</w:t>
            </w:r>
          </w:p>
        </w:tc>
        <w:tc>
          <w:tcPr>
            <w:tcW w:w="851"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8"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c>
          <w:tcPr>
            <w:tcW w:w="873" w:type="dxa"/>
            <w:tcBorders>
              <w:top w:val="single" w:color="auto" w:sz="4" w:space="0"/>
              <w:left w:val="nil"/>
              <w:bottom w:val="single" w:color="auto" w:sz="4" w:space="0"/>
              <w:right w:val="single" w:color="auto" w:sz="4" w:space="0"/>
            </w:tcBorders>
            <w:vAlign w:val="center"/>
          </w:tcPr>
          <w:p>
            <w:pPr>
              <w:spacing w:after="0"/>
              <w:jc w:val="center"/>
              <w:rPr>
                <w:rFonts w:ascii="宋体" w:hAnsi="宋体" w:eastAsia="宋体" w:cs="宋体"/>
                <w:sz w:val="24"/>
                <w:szCs w:val="24"/>
              </w:rPr>
            </w:pPr>
          </w:p>
        </w:tc>
      </w:tr>
    </w:tbl>
    <w:p>
      <w:pPr>
        <w:tabs>
          <w:tab w:val="left" w:pos="735"/>
        </w:tabs>
        <w:spacing w:beforeLines="50" w:after="0" w:line="360" w:lineRule="auto"/>
        <w:rPr>
          <w:rFonts w:hint="eastAsia" w:ascii="宋体" w:hAnsi="宋体" w:eastAsia="宋体" w:cs="宋体"/>
          <w:b/>
          <w:bCs/>
          <w:sz w:val="24"/>
          <w:szCs w:val="24"/>
        </w:rPr>
      </w:pPr>
      <w:r>
        <w:rPr>
          <w:rFonts w:hint="eastAsia" w:ascii="宋体" w:hAnsi="宋体" w:eastAsia="宋体" w:cs="宋体"/>
          <w:b/>
          <w:bCs/>
          <w:sz w:val="24"/>
          <w:szCs w:val="24"/>
        </w:rPr>
        <w:t>说明：上表格式中序号仅为举例，不限此数，按需列出。</w:t>
      </w:r>
    </w:p>
    <w:p>
      <w:pPr>
        <w:spacing w:after="0" w:line="360" w:lineRule="auto"/>
        <w:rPr>
          <w:rFonts w:ascii="宋体" w:hAnsi="宋体" w:eastAsia="宋体" w:cs="宋体"/>
          <w:sz w:val="24"/>
          <w:szCs w:val="24"/>
        </w:rPr>
      </w:pPr>
      <w:r>
        <w:rPr>
          <w:rFonts w:hint="eastAsia" w:ascii="宋体" w:hAnsi="宋体" w:eastAsia="宋体" w:cs="宋体"/>
          <w:sz w:val="24"/>
          <w:szCs w:val="24"/>
        </w:rPr>
        <w:t>11.1.3工期计划表。</w:t>
      </w:r>
    </w:p>
    <w:p>
      <w:pPr>
        <w:spacing w:after="0" w:line="360" w:lineRule="auto"/>
        <w:rPr>
          <w:rFonts w:ascii="宋体" w:hAnsi="宋体" w:eastAsia="宋体" w:cs="宋体"/>
          <w:sz w:val="24"/>
          <w:szCs w:val="24"/>
        </w:rPr>
      </w:pPr>
      <w:r>
        <w:rPr>
          <w:rFonts w:hint="eastAsia" w:ascii="宋体" w:hAnsi="宋体" w:eastAsia="宋体" w:cs="宋体"/>
          <w:sz w:val="24"/>
          <w:szCs w:val="24"/>
        </w:rPr>
        <w:t>11.1.4投标人提供的技术标书，应当包括如下内容：</w:t>
      </w:r>
    </w:p>
    <w:p>
      <w:pPr>
        <w:spacing w:after="0" w:line="360" w:lineRule="auto"/>
        <w:rPr>
          <w:rFonts w:ascii="宋体" w:hAnsi="宋体" w:eastAsia="宋体" w:cs="宋体"/>
          <w:sz w:val="24"/>
          <w:szCs w:val="24"/>
        </w:rPr>
      </w:pPr>
      <w:r>
        <w:rPr>
          <w:rFonts w:hint="eastAsia" w:ascii="宋体" w:hAnsi="宋体" w:eastAsia="宋体" w:cs="宋体"/>
          <w:sz w:val="24"/>
          <w:szCs w:val="24"/>
        </w:rPr>
        <w:t>附件1：技术方案详述</w:t>
      </w:r>
    </w:p>
    <w:p>
      <w:pPr>
        <w:spacing w:after="0" w:line="360" w:lineRule="auto"/>
        <w:rPr>
          <w:rFonts w:ascii="宋体" w:hAnsi="宋体" w:eastAsia="宋体" w:cs="宋体"/>
          <w:sz w:val="24"/>
          <w:szCs w:val="24"/>
        </w:rPr>
      </w:pPr>
      <w:r>
        <w:rPr>
          <w:rFonts w:hint="eastAsia" w:ascii="宋体" w:hAnsi="宋体" w:eastAsia="宋体" w:cs="宋体"/>
          <w:sz w:val="24"/>
          <w:szCs w:val="24"/>
        </w:rPr>
        <w:t>附件2：主要设备配置、供货范围及设计、设备分交表</w:t>
      </w:r>
    </w:p>
    <w:p>
      <w:pPr>
        <w:spacing w:after="0" w:line="360" w:lineRule="auto"/>
        <w:rPr>
          <w:rFonts w:ascii="宋体" w:hAnsi="宋体" w:eastAsia="宋体" w:cs="宋体"/>
          <w:sz w:val="24"/>
          <w:szCs w:val="24"/>
        </w:rPr>
      </w:pPr>
      <w:r>
        <w:rPr>
          <w:rFonts w:hint="eastAsia" w:ascii="宋体" w:hAnsi="宋体" w:eastAsia="宋体" w:cs="宋体"/>
          <w:sz w:val="24"/>
          <w:szCs w:val="24"/>
        </w:rPr>
        <w:t>附件3：技术资料及其交付进度</w:t>
      </w:r>
    </w:p>
    <w:p>
      <w:pPr>
        <w:spacing w:after="0" w:line="360" w:lineRule="auto"/>
        <w:rPr>
          <w:rFonts w:ascii="宋体" w:hAnsi="宋体" w:eastAsia="宋体" w:cs="宋体"/>
          <w:sz w:val="24"/>
          <w:szCs w:val="24"/>
        </w:rPr>
      </w:pPr>
      <w:r>
        <w:rPr>
          <w:rFonts w:hint="eastAsia" w:ascii="宋体" w:hAnsi="宋体" w:eastAsia="宋体" w:cs="宋体"/>
          <w:sz w:val="24"/>
          <w:szCs w:val="24"/>
        </w:rPr>
        <w:t>附件4：施工技术及实施方案</w:t>
      </w:r>
    </w:p>
    <w:p>
      <w:pPr>
        <w:spacing w:after="0" w:line="360" w:lineRule="auto"/>
        <w:rPr>
          <w:rFonts w:ascii="宋体" w:hAnsi="宋体" w:eastAsia="宋体" w:cs="宋体"/>
          <w:sz w:val="24"/>
          <w:szCs w:val="24"/>
        </w:rPr>
      </w:pPr>
      <w:r>
        <w:rPr>
          <w:rFonts w:hint="eastAsia" w:ascii="宋体" w:hAnsi="宋体" w:eastAsia="宋体" w:cs="宋体"/>
          <w:sz w:val="24"/>
          <w:szCs w:val="24"/>
        </w:rPr>
        <w:t>附件5：人员培训</w:t>
      </w:r>
    </w:p>
    <w:p>
      <w:pPr>
        <w:spacing w:after="0" w:line="360" w:lineRule="auto"/>
        <w:rPr>
          <w:rFonts w:ascii="宋体" w:hAnsi="宋体" w:eastAsia="宋体" w:cs="宋体"/>
          <w:sz w:val="24"/>
          <w:szCs w:val="24"/>
        </w:rPr>
      </w:pPr>
      <w:r>
        <w:rPr>
          <w:rFonts w:hint="eastAsia" w:ascii="宋体" w:hAnsi="宋体" w:eastAsia="宋体" w:cs="宋体"/>
          <w:sz w:val="24"/>
          <w:szCs w:val="24"/>
        </w:rPr>
        <w:t>附件6：技术服务</w:t>
      </w:r>
    </w:p>
    <w:p>
      <w:pPr>
        <w:spacing w:after="0" w:line="360" w:lineRule="auto"/>
        <w:rPr>
          <w:rFonts w:ascii="宋体" w:hAnsi="宋体" w:eastAsia="宋体" w:cs="宋体"/>
          <w:sz w:val="24"/>
          <w:szCs w:val="24"/>
        </w:rPr>
      </w:pPr>
      <w:r>
        <w:rPr>
          <w:rFonts w:hint="eastAsia" w:ascii="宋体" w:hAnsi="宋体" w:eastAsia="宋体" w:cs="宋体"/>
          <w:sz w:val="24"/>
          <w:szCs w:val="24"/>
        </w:rPr>
        <w:t>附件7；保证值和考核办法</w:t>
      </w:r>
    </w:p>
    <w:p>
      <w:pPr>
        <w:spacing w:after="0" w:line="360" w:lineRule="auto"/>
        <w:rPr>
          <w:rFonts w:ascii="宋体" w:hAnsi="宋体" w:eastAsia="宋体" w:cs="宋体"/>
          <w:sz w:val="24"/>
          <w:szCs w:val="24"/>
        </w:rPr>
      </w:pPr>
      <w:r>
        <w:rPr>
          <w:rFonts w:hint="eastAsia" w:ascii="宋体" w:hAnsi="宋体" w:eastAsia="宋体" w:cs="宋体"/>
          <w:sz w:val="24"/>
          <w:szCs w:val="24"/>
        </w:rPr>
        <w:t>附件8：平立面工艺布置图及其他附图</w:t>
      </w:r>
    </w:p>
    <w:p>
      <w:pPr>
        <w:spacing w:after="0" w:line="360" w:lineRule="auto"/>
        <w:rPr>
          <w:rFonts w:ascii="宋体" w:hAnsi="宋体" w:eastAsia="宋体" w:cs="宋体"/>
          <w:sz w:val="24"/>
          <w:szCs w:val="24"/>
        </w:rPr>
      </w:pPr>
      <w:r>
        <w:rPr>
          <w:rFonts w:hint="eastAsia" w:ascii="宋体" w:hAnsi="宋体" w:eastAsia="宋体" w:cs="宋体"/>
          <w:sz w:val="24"/>
          <w:szCs w:val="24"/>
        </w:rPr>
        <w:t>附件9：专利及技术诀窍等</w:t>
      </w:r>
    </w:p>
    <w:p>
      <w:pPr>
        <w:spacing w:after="0" w:line="360" w:lineRule="auto"/>
        <w:rPr>
          <w:rFonts w:ascii="宋体" w:hAnsi="宋体" w:eastAsia="宋体" w:cs="宋体"/>
          <w:sz w:val="24"/>
          <w:szCs w:val="24"/>
        </w:rPr>
      </w:pPr>
      <w:r>
        <w:rPr>
          <w:rFonts w:hint="eastAsia" w:ascii="宋体" w:hAnsi="宋体" w:eastAsia="宋体" w:cs="宋体"/>
          <w:sz w:val="24"/>
          <w:szCs w:val="24"/>
        </w:rPr>
        <w:t>附件10：设备制造标准及出厂前检验</w:t>
      </w:r>
    </w:p>
    <w:p>
      <w:pPr>
        <w:spacing w:after="0" w:line="360" w:lineRule="auto"/>
        <w:rPr>
          <w:rFonts w:ascii="宋体" w:hAnsi="宋体" w:eastAsia="宋体" w:cs="宋体"/>
          <w:sz w:val="24"/>
          <w:szCs w:val="24"/>
        </w:rPr>
      </w:pPr>
      <w:r>
        <w:rPr>
          <w:rFonts w:hint="eastAsia" w:ascii="宋体" w:hAnsi="宋体" w:eastAsia="宋体" w:cs="宋体"/>
          <w:sz w:val="24"/>
          <w:szCs w:val="24"/>
        </w:rPr>
        <w:t>附件11：备件及消耗件清单</w:t>
      </w:r>
    </w:p>
    <w:p>
      <w:pPr>
        <w:spacing w:after="0" w:line="360" w:lineRule="auto"/>
        <w:rPr>
          <w:rFonts w:ascii="宋体" w:hAnsi="宋体" w:eastAsia="宋体" w:cs="宋体"/>
          <w:sz w:val="24"/>
          <w:szCs w:val="24"/>
        </w:rPr>
      </w:pPr>
      <w:r>
        <w:rPr>
          <w:rFonts w:hint="eastAsia" w:ascii="宋体" w:hAnsi="宋体" w:eastAsia="宋体" w:cs="宋体"/>
          <w:sz w:val="24"/>
          <w:szCs w:val="24"/>
        </w:rPr>
        <w:t>附件12：子供货商明细表</w:t>
      </w:r>
    </w:p>
    <w:p>
      <w:pPr>
        <w:spacing w:after="0" w:line="360" w:lineRule="auto"/>
        <w:rPr>
          <w:rFonts w:ascii="宋体" w:hAnsi="宋体" w:eastAsia="宋体" w:cs="宋体"/>
          <w:sz w:val="24"/>
          <w:szCs w:val="24"/>
        </w:rPr>
      </w:pPr>
      <w:r>
        <w:rPr>
          <w:rFonts w:hint="eastAsia" w:ascii="宋体" w:hAnsi="宋体" w:eastAsia="宋体" w:cs="宋体"/>
          <w:sz w:val="24"/>
          <w:szCs w:val="24"/>
        </w:rPr>
        <w:t>附件13：设备交货及建设进度</w:t>
      </w:r>
    </w:p>
    <w:p>
      <w:pPr>
        <w:spacing w:after="0" w:line="360" w:lineRule="auto"/>
        <w:rPr>
          <w:rFonts w:hint="eastAsia" w:ascii="宋体" w:hAnsi="宋体" w:eastAsia="宋体" w:cs="宋体"/>
          <w:sz w:val="24"/>
          <w:szCs w:val="24"/>
        </w:rPr>
      </w:pPr>
      <w:r>
        <w:rPr>
          <w:rFonts w:hint="eastAsia" w:ascii="宋体" w:hAnsi="宋体" w:eastAsia="宋体" w:cs="宋体"/>
          <w:sz w:val="24"/>
          <w:szCs w:val="24"/>
        </w:rPr>
        <w:t>附件14：资质及业绩表</w:t>
      </w:r>
    </w:p>
    <w:p>
      <w:pPr>
        <w:tabs>
          <w:tab w:val="left" w:pos="735"/>
        </w:tabs>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投标方在</w:t>
      </w:r>
      <w:r>
        <w:rPr>
          <w:rFonts w:hint="eastAsia" w:ascii="宋体" w:hAnsi="宋体" w:eastAsia="宋体" w:cs="宋体"/>
          <w:sz w:val="24"/>
          <w:szCs w:val="24"/>
          <w:highlight w:val="none"/>
          <w:lang w:eastAsia="zh-CN"/>
        </w:rPr>
        <w:t>焦炉上升管余热回收项目</w:t>
      </w:r>
      <w:r>
        <w:rPr>
          <w:rFonts w:hint="eastAsia" w:ascii="宋体" w:hAnsi="宋体" w:eastAsia="宋体" w:cs="宋体"/>
          <w:sz w:val="24"/>
          <w:szCs w:val="24"/>
          <w:highlight w:val="none"/>
        </w:rPr>
        <w:t>范围内的项目业绩不得少于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家，随投标文件提供合同复印件。</w:t>
      </w:r>
    </w:p>
    <w:p>
      <w:pPr>
        <w:spacing w:after="0" w:line="360" w:lineRule="auto"/>
        <w:rPr>
          <w:rFonts w:ascii="宋体" w:hAnsi="宋体" w:eastAsia="宋体" w:cs="宋体"/>
          <w:b/>
          <w:bCs/>
          <w:sz w:val="24"/>
          <w:highlight w:val="none"/>
        </w:rPr>
      </w:pPr>
      <w:r>
        <w:rPr>
          <w:rFonts w:hint="eastAsia" w:ascii="宋体" w:hAnsi="宋体" w:eastAsia="宋体" w:cs="宋体"/>
          <w:b/>
          <w:bCs/>
          <w:sz w:val="24"/>
          <w:highlight w:val="none"/>
        </w:rPr>
        <w:t>十二、安装及施工资质要求</w:t>
      </w:r>
    </w:p>
    <w:p>
      <w:pPr>
        <w:spacing w:after="0" w:line="360" w:lineRule="auto"/>
        <w:rPr>
          <w:rFonts w:ascii="宋体" w:hAnsi="宋体" w:eastAsia="宋体"/>
          <w:sz w:val="24"/>
        </w:rPr>
      </w:pPr>
      <w:r>
        <w:rPr>
          <w:rFonts w:hint="eastAsia" w:ascii="宋体" w:hAnsi="宋体" w:eastAsia="宋体"/>
          <w:sz w:val="24"/>
        </w:rPr>
        <w:t>12.1对投标方要求</w:t>
      </w:r>
    </w:p>
    <w:p>
      <w:pPr>
        <w:spacing w:after="0" w:line="360" w:lineRule="auto"/>
        <w:rPr>
          <w:rFonts w:ascii="宋体" w:hAnsi="宋体" w:eastAsia="宋体"/>
          <w:sz w:val="24"/>
        </w:rPr>
      </w:pPr>
      <w:r>
        <w:rPr>
          <w:rFonts w:hint="eastAsia" w:ascii="宋体" w:hAnsi="宋体" w:eastAsia="宋体"/>
          <w:sz w:val="24"/>
        </w:rPr>
        <w:t>12.1.1在中华人民共和国工商管理部门注册，且具有中华人民共和国独立法人资格，且具有履行合同和履行民事责任的能力，营业执照处于有效期。</w:t>
      </w:r>
    </w:p>
    <w:p>
      <w:pPr>
        <w:spacing w:after="0" w:line="360" w:lineRule="auto"/>
        <w:rPr>
          <w:rFonts w:ascii="宋体" w:hAnsi="宋体" w:eastAsia="宋体"/>
          <w:sz w:val="24"/>
          <w:highlight w:val="none"/>
        </w:rPr>
      </w:pPr>
      <w:r>
        <w:rPr>
          <w:rFonts w:hint="eastAsia" w:ascii="宋体" w:hAnsi="宋体" w:eastAsia="宋体"/>
          <w:sz w:val="24"/>
          <w:highlight w:val="none"/>
          <w:lang w:val="zh-CN"/>
        </w:rPr>
        <w:t>12.1.2需具有冶金工程施工总承包贰级资质及以上资质（含贰级）和压力管道GC2资质；或者同时具有机电工程施工总承包叁级及以上资质（含叁级）和压力管道GC2资质。</w:t>
      </w:r>
    </w:p>
    <w:p>
      <w:pPr>
        <w:spacing w:after="0" w:line="360" w:lineRule="auto"/>
        <w:rPr>
          <w:rFonts w:hint="eastAsia" w:ascii="宋体" w:hAnsi="宋体" w:eastAsia="宋体"/>
          <w:sz w:val="24"/>
          <w:lang w:val="zh-CN"/>
        </w:rPr>
      </w:pPr>
      <w:r>
        <w:rPr>
          <w:rFonts w:hint="eastAsia" w:ascii="宋体" w:hAnsi="宋体" w:eastAsia="宋体"/>
          <w:sz w:val="24"/>
          <w:lang w:val="zh-CN"/>
        </w:rPr>
        <w:t>12.1.3</w:t>
      </w:r>
      <w:r>
        <w:rPr>
          <w:rFonts w:hint="default" w:ascii="宋体" w:hAnsi="宋体" w:eastAsia="宋体"/>
          <w:sz w:val="24"/>
          <w:lang w:val="zh-CN" w:eastAsia="zh-CN"/>
        </w:rPr>
        <w:t>具有有效的安全生产许可证</w:t>
      </w:r>
      <w:r>
        <w:rPr>
          <w:rFonts w:hint="eastAsia" w:ascii="宋体" w:hAnsi="宋体" w:eastAsia="宋体"/>
          <w:sz w:val="24"/>
          <w:lang w:val="zh-CN" w:eastAsia="zh-CN"/>
        </w:rPr>
        <w:t>。</w:t>
      </w:r>
    </w:p>
    <w:p>
      <w:pPr>
        <w:spacing w:after="0" w:line="360" w:lineRule="auto"/>
        <w:rPr>
          <w:rFonts w:ascii="宋体" w:hAnsi="宋体" w:eastAsia="宋体"/>
          <w:sz w:val="24"/>
        </w:rPr>
      </w:pPr>
      <w:r>
        <w:rPr>
          <w:rFonts w:hint="eastAsia" w:ascii="宋体" w:hAnsi="宋体" w:eastAsia="宋体"/>
          <w:sz w:val="24"/>
        </w:rPr>
        <w:t>12.1.4投标方能够按国家规定和招标方要求开具增值税专用发票。</w:t>
      </w:r>
    </w:p>
    <w:p>
      <w:pPr>
        <w:spacing w:after="0" w:line="360" w:lineRule="auto"/>
        <w:rPr>
          <w:rFonts w:ascii="宋体" w:hAnsi="宋体" w:eastAsia="宋体"/>
          <w:sz w:val="24"/>
        </w:rPr>
      </w:pPr>
      <w:r>
        <w:rPr>
          <w:rFonts w:hint="eastAsia" w:ascii="宋体" w:hAnsi="宋体" w:eastAsia="宋体"/>
          <w:sz w:val="24"/>
        </w:rPr>
        <w:t>12.1.5投标方中标后，不能进行转包。</w:t>
      </w:r>
    </w:p>
    <w:p>
      <w:pPr>
        <w:spacing w:after="0" w:line="360" w:lineRule="auto"/>
        <w:rPr>
          <w:rFonts w:ascii="宋体" w:hAnsi="宋体" w:eastAsia="宋体"/>
          <w:bCs/>
          <w:sz w:val="24"/>
        </w:rPr>
      </w:pPr>
      <w:r>
        <w:rPr>
          <w:rFonts w:hint="eastAsia" w:ascii="宋体" w:hAnsi="宋体" w:eastAsia="宋体"/>
          <w:bCs/>
          <w:sz w:val="24"/>
        </w:rPr>
        <w:t>12.1.6接受联合体投标，联合体投标的，应满足下列要求：联合体允许最多2家单位联合组成，并满足上述12.1.1至12.1.5的资格要求,联合体各成员均要为独立法人资格。</w:t>
      </w:r>
    </w:p>
    <w:p>
      <w:pPr>
        <w:spacing w:after="0" w:line="360" w:lineRule="auto"/>
        <w:rPr>
          <w:rFonts w:ascii="宋体" w:hAnsi="宋体" w:eastAsia="宋体"/>
          <w:bCs/>
          <w:sz w:val="24"/>
        </w:rPr>
      </w:pPr>
      <w:r>
        <w:rPr>
          <w:rFonts w:hint="eastAsia" w:ascii="宋体" w:hAnsi="宋体" w:eastAsia="宋体"/>
          <w:sz w:val="24"/>
        </w:rPr>
        <w:t>12.2 建设工期：投标文件需注明总工期和安装工期。</w:t>
      </w:r>
    </w:p>
    <w:p>
      <w:pPr>
        <w:spacing w:after="0" w:line="360" w:lineRule="auto"/>
        <w:rPr>
          <w:rFonts w:ascii="宋体" w:hAnsi="宋体" w:eastAsia="宋体"/>
          <w:sz w:val="24"/>
        </w:rPr>
      </w:pPr>
      <w:r>
        <w:rPr>
          <w:rFonts w:hint="eastAsia" w:ascii="宋体" w:hAnsi="宋体" w:eastAsia="宋体"/>
          <w:sz w:val="24"/>
        </w:rPr>
        <w:t>12.3 报价形式</w:t>
      </w:r>
    </w:p>
    <w:p>
      <w:pPr>
        <w:spacing w:after="0" w:line="360" w:lineRule="auto"/>
        <w:rPr>
          <w:rFonts w:ascii="宋体" w:hAnsi="宋体" w:eastAsia="宋体"/>
          <w:sz w:val="24"/>
        </w:rPr>
      </w:pPr>
      <w:r>
        <w:rPr>
          <w:rFonts w:hint="eastAsia" w:ascii="宋体" w:hAnsi="宋体" w:eastAsia="宋体"/>
          <w:sz w:val="24"/>
        </w:rPr>
        <w:t>设备与安装分开报价。</w:t>
      </w:r>
    </w:p>
    <w:p>
      <w:pPr>
        <w:spacing w:after="0" w:line="360" w:lineRule="auto"/>
        <w:rPr>
          <w:rFonts w:ascii="宋体" w:hAnsi="宋体" w:eastAsia="宋体"/>
          <w:sz w:val="24"/>
        </w:rPr>
      </w:pPr>
      <w:r>
        <w:rPr>
          <w:rFonts w:hint="eastAsia" w:ascii="宋体" w:hAnsi="宋体" w:eastAsia="宋体"/>
          <w:sz w:val="24"/>
        </w:rPr>
        <w:t>12.4 建安合同付款</w:t>
      </w:r>
    </w:p>
    <w:p>
      <w:pPr>
        <w:spacing w:after="0" w:line="360" w:lineRule="auto"/>
        <w:rPr>
          <w:rFonts w:ascii="宋体" w:hAnsi="宋体" w:eastAsia="宋体"/>
          <w:sz w:val="24"/>
        </w:rPr>
      </w:pPr>
      <w:r>
        <w:rPr>
          <w:rFonts w:hint="eastAsia" w:ascii="宋体" w:hAnsi="宋体" w:eastAsia="宋体"/>
          <w:sz w:val="24"/>
        </w:rPr>
        <w:t>12.4.1投标方向工程师提交已完工程量报告的时间：投标方每月20日前向招标方代表提交已完工程量报告，招标方代表收到报告后5日内审核完毕。</w:t>
      </w:r>
    </w:p>
    <w:p>
      <w:pPr>
        <w:spacing w:after="0" w:line="360" w:lineRule="auto"/>
        <w:rPr>
          <w:rFonts w:ascii="宋体" w:hAnsi="宋体" w:eastAsia="宋体"/>
          <w:sz w:val="24"/>
        </w:rPr>
      </w:pPr>
      <w:r>
        <w:rPr>
          <w:rFonts w:hint="eastAsia" w:ascii="宋体" w:hAnsi="宋体" w:eastAsia="宋体"/>
          <w:sz w:val="24"/>
        </w:rPr>
        <w:t>12.4.2双方约定的工程款（进度款）支付的方式：招标方次月按审定的上月进度的70%支付投标方工程款，付款前提供等额增值税专用发票。（30万以下无进度款）。</w:t>
      </w:r>
    </w:p>
    <w:p>
      <w:pPr>
        <w:spacing w:after="0" w:line="360" w:lineRule="auto"/>
        <w:rPr>
          <w:rFonts w:ascii="宋体" w:hAnsi="宋体" w:eastAsia="宋体"/>
          <w:sz w:val="24"/>
        </w:rPr>
      </w:pPr>
      <w:r>
        <w:rPr>
          <w:rFonts w:hint="eastAsia" w:ascii="宋体" w:hAnsi="宋体" w:eastAsia="宋体"/>
          <w:sz w:val="24"/>
        </w:rPr>
        <w:t>12.4.3工程竣工验收合格、结算审核后付至审核价的97%，留3%为质保金，质保金返还按保修规定。投标方应于招标方支付全部或部分工程款项前向招标方开具增值税专用发票，工程款以6个月银行承兑汇票支付。</w:t>
      </w:r>
    </w:p>
    <w:p>
      <w:pPr>
        <w:spacing w:after="0" w:line="360" w:lineRule="auto"/>
        <w:rPr>
          <w:rFonts w:ascii="宋体" w:hAnsi="宋体" w:eastAsia="宋体"/>
          <w:sz w:val="24"/>
        </w:rPr>
      </w:pPr>
      <w:r>
        <w:rPr>
          <w:rFonts w:hint="eastAsia" w:ascii="宋体" w:hAnsi="宋体" w:eastAsia="宋体"/>
          <w:sz w:val="24"/>
        </w:rPr>
        <w:t>12.4.4结算审核后投标方及时向招标方开具全额增值税专用发票。</w:t>
      </w:r>
    </w:p>
    <w:p>
      <w:pPr>
        <w:spacing w:after="0" w:line="360" w:lineRule="auto"/>
        <w:rPr>
          <w:rFonts w:ascii="宋体" w:hAnsi="宋体" w:eastAsia="宋体"/>
          <w:sz w:val="24"/>
        </w:rPr>
      </w:pPr>
      <w:r>
        <w:rPr>
          <w:rFonts w:hint="eastAsia" w:ascii="宋体" w:hAnsi="宋体" w:eastAsia="宋体"/>
          <w:sz w:val="24"/>
        </w:rPr>
        <w:t>12.5 建安合同考核</w:t>
      </w:r>
    </w:p>
    <w:p>
      <w:pPr>
        <w:spacing w:after="0" w:line="360" w:lineRule="auto"/>
        <w:rPr>
          <w:rFonts w:ascii="宋体" w:hAnsi="宋体" w:eastAsia="宋体"/>
          <w:sz w:val="24"/>
        </w:rPr>
      </w:pPr>
      <w:r>
        <w:rPr>
          <w:rFonts w:hint="eastAsia" w:ascii="宋体" w:hAnsi="宋体" w:eastAsia="宋体"/>
          <w:sz w:val="24"/>
        </w:rPr>
        <w:t>12.5.1工期考核：因投标方原因，节点工期每延误1天，投标方向招标方支付违约金壹仟圆整（￥：1000元整）。竣工工期每延误1天，投标方向招标方支付违约金贰仟圆整（￥：2000元整）。因投标方原因，工期延误7天以上或施工质量达不到要求，招标方有权终止合同，另行选择施工队伍。</w:t>
      </w:r>
    </w:p>
    <w:p>
      <w:pPr>
        <w:spacing w:after="0" w:line="360" w:lineRule="auto"/>
        <w:rPr>
          <w:rFonts w:ascii="宋体" w:hAnsi="宋体" w:eastAsia="宋体"/>
          <w:sz w:val="24"/>
        </w:rPr>
      </w:pPr>
      <w:r>
        <w:rPr>
          <w:rFonts w:hint="eastAsia" w:ascii="宋体" w:hAnsi="宋体" w:eastAsia="宋体"/>
          <w:sz w:val="24"/>
          <w:lang w:val="zh-CN"/>
        </w:rPr>
        <w:t>12.5.2若投标方达不到合同中规定的合格标准，按不合格工程量造价的1.2倍向招标方支付违约金，同时投标方必须无条件返工直至合格。</w:t>
      </w:r>
    </w:p>
    <w:p>
      <w:pPr>
        <w:spacing w:after="0" w:line="360" w:lineRule="auto"/>
        <w:rPr>
          <w:rFonts w:ascii="宋体" w:hAnsi="宋体" w:eastAsia="宋体"/>
          <w:sz w:val="24"/>
        </w:rPr>
      </w:pPr>
      <w:r>
        <w:rPr>
          <w:rFonts w:hint="eastAsia" w:ascii="宋体" w:hAnsi="宋体" w:eastAsia="宋体"/>
          <w:sz w:val="24"/>
        </w:rPr>
        <w:t>12.6 本项目建安工程合同最终结算发票是9%增值税专用发票。</w:t>
      </w:r>
    </w:p>
    <w:p>
      <w:pPr>
        <w:spacing w:after="0" w:line="360" w:lineRule="auto"/>
        <w:rPr>
          <w:rFonts w:ascii="宋体" w:hAnsi="宋体" w:eastAsia="宋体"/>
          <w:sz w:val="24"/>
        </w:rPr>
      </w:pPr>
      <w:r>
        <w:rPr>
          <w:rFonts w:hint="eastAsia" w:ascii="宋体" w:hAnsi="宋体" w:eastAsia="宋体"/>
          <w:sz w:val="24"/>
        </w:rPr>
        <w:t>12.7 施工期间投标方的项目经理在现场时间无特殊情况原则上不少于5个工作日/星期，工作期间离开现场须经招标方代表书面同意。如发现缺岗1天，投标方支付违约金500元。</w:t>
      </w:r>
    </w:p>
    <w:p>
      <w:pPr>
        <w:spacing w:after="0" w:line="360" w:lineRule="auto"/>
        <w:rPr>
          <w:rFonts w:ascii="宋体" w:hAnsi="宋体" w:eastAsia="宋体"/>
          <w:sz w:val="24"/>
        </w:rPr>
      </w:pPr>
      <w:r>
        <w:rPr>
          <w:rFonts w:hint="eastAsia" w:ascii="宋体" w:hAnsi="宋体" w:eastAsia="宋体"/>
          <w:sz w:val="24"/>
        </w:rPr>
        <w:t>12.8 招标方在指定位置提供施工电源及水源，外部分投标方自行承担，现场施工水电费结算时按建安合同总价的７‰扣除。</w:t>
      </w:r>
    </w:p>
    <w:p>
      <w:pPr>
        <w:spacing w:after="0" w:line="360" w:lineRule="auto"/>
        <w:rPr>
          <w:rFonts w:hint="eastAsia" w:ascii="宋体" w:hAnsi="宋体" w:eastAsia="宋体"/>
          <w:sz w:val="24"/>
        </w:rPr>
      </w:pPr>
      <w:r>
        <w:rPr>
          <w:rFonts w:hint="eastAsia" w:ascii="宋体" w:hAnsi="宋体" w:eastAsia="宋体"/>
          <w:sz w:val="24"/>
        </w:rPr>
        <w:t>12.9 中标</w:t>
      </w:r>
      <w:r>
        <w:rPr>
          <w:rFonts w:hint="eastAsia" w:ascii="宋体" w:hAnsi="宋体" w:eastAsia="宋体"/>
          <w:sz w:val="24"/>
          <w:lang w:val="en-US" w:eastAsia="zh-CN"/>
        </w:rPr>
        <w:t>方</w:t>
      </w:r>
      <w:r>
        <w:rPr>
          <w:rFonts w:hint="eastAsia" w:ascii="宋体" w:hAnsi="宋体" w:eastAsia="宋体"/>
          <w:sz w:val="24"/>
        </w:rPr>
        <w:t>需缴纳安全保障金及施工履约保证金60万元整（长期合作单位，需出具投标方已经办理过的证明材料），通过基本账户现汇办理，待投标方承建的所有工程竣工后由投标方提出申请，工程部核实后保证金无息退还给投标方。</w:t>
      </w:r>
    </w:p>
    <w:p>
      <w:pPr>
        <w:spacing w:after="0" w:line="360" w:lineRule="auto"/>
        <w:rPr>
          <w:rFonts w:hint="eastAsia" w:ascii="宋体" w:hAnsi="宋体" w:eastAsia="宋体"/>
          <w:sz w:val="24"/>
        </w:rPr>
      </w:pPr>
      <w:r>
        <w:rPr>
          <w:rFonts w:hint="eastAsia" w:ascii="宋体" w:hAnsi="宋体" w:eastAsia="宋体"/>
          <w:sz w:val="24"/>
          <w:lang w:val="en-US" w:eastAsia="zh-CN"/>
        </w:rPr>
        <w:t>12.10</w:t>
      </w:r>
      <w:r>
        <w:rPr>
          <w:rFonts w:hint="default" w:ascii="宋体" w:hAnsi="宋体" w:eastAsia="宋体"/>
          <w:sz w:val="24"/>
          <w:lang w:val="zh-CN"/>
        </w:rPr>
        <w:t>招标方、中标方须密切配合、相互协商，以使现场施工达到招标</w:t>
      </w:r>
      <w:r>
        <w:rPr>
          <w:rFonts w:hint="eastAsia" w:ascii="宋体" w:hAnsi="宋体" w:eastAsia="宋体"/>
          <w:sz w:val="24"/>
          <w:lang w:val="en-US" w:eastAsia="zh-CN"/>
        </w:rPr>
        <w:t>方</w:t>
      </w:r>
      <w:r>
        <w:rPr>
          <w:rFonts w:hint="default" w:ascii="宋体" w:hAnsi="宋体" w:eastAsia="宋体"/>
          <w:sz w:val="24"/>
          <w:lang w:val="zh-CN"/>
        </w:rPr>
        <w:t>安全管理和现场文明施工要求，接受招标方6S管理，达不到要求的按招标方有关管理办法考核；中标方无条件配合招标方有关安全、消防验收和现场整治、来人参观的临时性安排（须提前通知），如满足不了招标方有关要求，招标方有权临时组织人员处理，其费用按400元/工日计算，从中标方工程款中扣除。</w:t>
      </w:r>
    </w:p>
    <w:p>
      <w:pPr>
        <w:numPr>
          <w:ilvl w:val="0"/>
          <w:numId w:val="3"/>
        </w:numPr>
        <w:tabs>
          <w:tab w:val="left" w:pos="735"/>
        </w:tabs>
        <w:spacing w:after="0" w:line="360" w:lineRule="auto"/>
        <w:rPr>
          <w:rFonts w:hint="eastAsia" w:ascii="宋体" w:hAnsi="宋体" w:eastAsia="宋体"/>
          <w:b/>
          <w:sz w:val="24"/>
          <w:szCs w:val="24"/>
        </w:rPr>
      </w:pPr>
      <w:r>
        <w:rPr>
          <w:rFonts w:hint="eastAsia" w:ascii="宋体" w:hAnsi="宋体" w:eastAsia="宋体"/>
          <w:b/>
          <w:sz w:val="24"/>
          <w:szCs w:val="24"/>
          <w:lang w:eastAsia="zh-CN"/>
        </w:rPr>
        <w:t>技术人员</w:t>
      </w:r>
      <w:r>
        <w:rPr>
          <w:rFonts w:hint="eastAsia" w:ascii="宋体" w:hAnsi="宋体" w:eastAsia="宋体"/>
          <w:b/>
          <w:sz w:val="24"/>
          <w:szCs w:val="24"/>
        </w:rPr>
        <w:t>联系方式</w:t>
      </w:r>
    </w:p>
    <w:p>
      <w:pPr>
        <w:pStyle w:val="3"/>
        <w:rPr>
          <w:rFonts w:hint="eastAsia" w:ascii="宋体" w:hAnsi="宋体" w:eastAsia="宋体" w:cs="Times New Roman"/>
          <w:kern w:val="0"/>
          <w:sz w:val="24"/>
          <w:szCs w:val="22"/>
          <w:lang w:val="en-US" w:eastAsia="zh-CN" w:bidi="ar-SA"/>
        </w:rPr>
      </w:pPr>
      <w:r>
        <w:rPr>
          <w:rFonts w:hint="eastAsia" w:eastAsia="宋体" w:cs="Times New Roman"/>
          <w:kern w:val="0"/>
          <w:sz w:val="24"/>
          <w:szCs w:val="22"/>
          <w:lang w:val="en-US" w:eastAsia="zh-CN" w:bidi="ar-SA"/>
        </w:rPr>
        <w:t>铁前事业</w:t>
      </w:r>
      <w:r>
        <w:rPr>
          <w:rFonts w:hint="eastAsia" w:ascii="宋体" w:hAnsi="宋体" w:eastAsia="宋体" w:cs="Times New Roman"/>
          <w:kern w:val="0"/>
          <w:sz w:val="24"/>
          <w:szCs w:val="22"/>
          <w:lang w:val="en-US" w:eastAsia="zh-CN" w:bidi="ar-SA"/>
        </w:rPr>
        <w:t xml:space="preserve">部 </w:t>
      </w:r>
      <w:r>
        <w:rPr>
          <w:rFonts w:hint="eastAsia" w:eastAsia="宋体" w:cs="Times New Roman"/>
          <w:kern w:val="0"/>
          <w:sz w:val="24"/>
          <w:szCs w:val="22"/>
          <w:lang w:val="en-US" w:eastAsia="zh-CN" w:bidi="ar-SA"/>
        </w:rPr>
        <w:t xml:space="preserve">       </w:t>
      </w:r>
      <w:r>
        <w:rPr>
          <w:rFonts w:hint="eastAsia" w:ascii="宋体" w:hAnsi="宋体" w:eastAsia="宋体" w:cs="Times New Roman"/>
          <w:kern w:val="0"/>
          <w:sz w:val="24"/>
          <w:szCs w:val="22"/>
          <w:lang w:val="en-US" w:eastAsia="zh-CN" w:bidi="ar-SA"/>
        </w:rPr>
        <w:t xml:space="preserve"> </w:t>
      </w:r>
      <w:r>
        <w:rPr>
          <w:rFonts w:hint="eastAsia" w:eastAsia="宋体" w:cs="Times New Roman"/>
          <w:kern w:val="0"/>
          <w:sz w:val="24"/>
          <w:szCs w:val="22"/>
          <w:lang w:val="en-US" w:eastAsia="zh-CN" w:bidi="ar-SA"/>
        </w:rPr>
        <w:t xml:space="preserve">  杨志</w:t>
      </w:r>
      <w:r>
        <w:rPr>
          <w:rFonts w:hint="eastAsia" w:ascii="宋体" w:hAnsi="宋体" w:eastAsia="宋体" w:cs="Times New Roman"/>
          <w:kern w:val="0"/>
          <w:sz w:val="24"/>
          <w:szCs w:val="22"/>
          <w:lang w:val="en-US" w:eastAsia="zh-CN" w:bidi="ar-SA"/>
        </w:rPr>
        <w:t xml:space="preserve"> </w:t>
      </w:r>
      <w:r>
        <w:rPr>
          <w:rFonts w:hint="eastAsia" w:eastAsia="宋体" w:cs="Times New Roman"/>
          <w:kern w:val="0"/>
          <w:sz w:val="24"/>
          <w:szCs w:val="22"/>
          <w:lang w:val="en-US" w:eastAsia="zh-CN" w:bidi="ar-SA"/>
        </w:rPr>
        <w:t xml:space="preserve">   18010798807</w:t>
      </w:r>
      <w:r>
        <w:rPr>
          <w:rFonts w:hint="eastAsia" w:ascii="宋体" w:hAnsi="宋体" w:eastAsia="宋体" w:cs="Times New Roman"/>
          <w:kern w:val="0"/>
          <w:sz w:val="24"/>
          <w:szCs w:val="22"/>
          <w:lang w:val="en-US" w:eastAsia="zh-CN" w:bidi="ar-SA"/>
        </w:rPr>
        <w:t xml:space="preserve"> </w:t>
      </w:r>
    </w:p>
    <w:p>
      <w:pPr>
        <w:pStyle w:val="3"/>
        <w:rPr>
          <w:rFonts w:hint="eastAsia"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 xml:space="preserve">工程管理部（工程处） </w:t>
      </w:r>
      <w:r>
        <w:rPr>
          <w:rFonts w:hint="eastAsia" w:eastAsia="宋体" w:cs="Times New Roman"/>
          <w:kern w:val="0"/>
          <w:sz w:val="24"/>
          <w:szCs w:val="22"/>
          <w:lang w:val="en-US" w:eastAsia="zh-CN" w:bidi="ar-SA"/>
        </w:rPr>
        <w:t>孙星超</w:t>
      </w:r>
      <w:r>
        <w:rPr>
          <w:rFonts w:hint="eastAsia" w:ascii="宋体" w:hAnsi="宋体" w:eastAsia="宋体" w:cs="Times New Roman"/>
          <w:kern w:val="0"/>
          <w:sz w:val="24"/>
          <w:szCs w:val="22"/>
          <w:lang w:val="en-US" w:eastAsia="zh-CN" w:bidi="ar-SA"/>
        </w:rPr>
        <w:t xml:space="preserve"> </w:t>
      </w:r>
      <w:r>
        <w:rPr>
          <w:rFonts w:hint="eastAsia" w:eastAsia="宋体" w:cs="Times New Roman"/>
          <w:kern w:val="0"/>
          <w:sz w:val="24"/>
          <w:szCs w:val="22"/>
          <w:lang w:val="en-US" w:eastAsia="zh-CN" w:bidi="ar-SA"/>
        </w:rPr>
        <w:t xml:space="preserve"> 15385537006</w:t>
      </w:r>
    </w:p>
    <w:p>
      <w:pPr>
        <w:pStyle w:val="3"/>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工程管理部（设计处） 金美余  17855353516</w:t>
      </w:r>
    </w:p>
    <w:p>
      <w:pPr>
        <w:pStyle w:val="3"/>
        <w:rPr>
          <w:rFonts w:hint="eastAsia" w:ascii="宋体" w:hAnsi="宋体" w:eastAsia="宋体" w:cs="Times New Roman"/>
          <w:kern w:val="0"/>
          <w:sz w:val="24"/>
          <w:szCs w:val="22"/>
          <w:lang w:val="en-US" w:eastAsia="zh-CN" w:bidi="ar-SA"/>
        </w:rPr>
      </w:pPr>
    </w:p>
    <w:sectPr>
      <w:headerReference r:id="rId4" w:type="default"/>
      <w:footerReference r:id="rId5"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o MT">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suff w:val="space"/>
      <w:lvlText w:val="%1   "/>
      <w:lvlJc w:val="left"/>
      <w:pPr>
        <w:ind w:left="0" w:firstLine="0"/>
      </w:pPr>
      <w:rPr>
        <w:rFonts w:hint="eastAsia"/>
      </w:rPr>
    </w:lvl>
    <w:lvl w:ilvl="1" w:tentative="0">
      <w:start w:val="1"/>
      <w:numFmt w:val="decimal"/>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pStyle w:val="7"/>
      <w:suff w:val="space"/>
      <w:lvlText w:val="%1.%2.%3.%4   "/>
      <w:lvlJc w:val="left"/>
      <w:pPr>
        <w:ind w:left="0" w:firstLine="0"/>
      </w:pPr>
      <w:rPr>
        <w:rFonts w:hint="eastAsia"/>
      </w:rPr>
    </w:lvl>
    <w:lvl w:ilvl="4" w:tentative="0">
      <w:start w:val="1"/>
      <w:numFmt w:val="decimal"/>
      <w:suff w:val="space"/>
      <w:lvlText w:val="%1.%2.%3.%4.%5   "/>
      <w:lvlJc w:val="left"/>
      <w:pPr>
        <w:ind w:left="0" w:firstLine="0"/>
      </w:pPr>
      <w:rPr>
        <w:rFonts w:hint="eastAsia"/>
      </w:rPr>
    </w:lvl>
    <w:lvl w:ilvl="5" w:tentative="0">
      <w:start w:val="1"/>
      <w:numFmt w:val="lowerLetter"/>
      <w:suff w:val="space"/>
      <w:lvlText w:val="%6)"/>
      <w:lvlJc w:val="left"/>
      <w:pPr>
        <w:ind w:left="0" w:firstLine="0"/>
      </w:pPr>
      <w:rPr>
        <w:rFonts w:hint="default" w:ascii="Times New Roman" w:hAnsi="Times New Roman"/>
        <w:b w:val="0"/>
        <w:i w:val="0"/>
        <w:sz w:val="28"/>
      </w:rPr>
    </w:lvl>
    <w:lvl w:ilvl="6" w:tentative="0">
      <w:start w:val="1"/>
      <w:numFmt w:val="decimal"/>
      <w:suff w:val="space"/>
      <w:lvlText w:val="%7)"/>
      <w:lvlJc w:val="left"/>
      <w:pPr>
        <w:ind w:left="0" w:firstLine="0"/>
      </w:pPr>
      <w:rPr>
        <w:rFonts w:hint="default" w:ascii="Times New Roman" w:hAnsi="Times New Roman"/>
        <w:b w:val="0"/>
        <w:i w:val="0"/>
        <w:sz w:val="28"/>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
    <w:nsid w:val="0000000B"/>
    <w:multiLevelType w:val="singleLevel"/>
    <w:tmpl w:val="0000000B"/>
    <w:lvl w:ilvl="0" w:tentative="0">
      <w:start w:val="1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isplayHorizontalDrawingGridEvery w:val="1"/>
  <w:displayVerticalDrawingGridEvery w:val="1"/>
  <w:characterSpacingControl w:val="doNotCompress"/>
  <w:hdrShapeDefaults>
    <o:shapelayout v:ext="edit">
      <o:idmap v:ext="edit" data="2"/>
    </o:shapelayout>
  </w:hdrShapeDefaults>
  <w:footnotePr>
    <w:footnote w:id="0"/>
    <w:footnote w:id="1"/>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10D9A"/>
    <w:rsid w:val="368D44DB"/>
    <w:rsid w:val="6B813CBE"/>
    <w:rsid w:val="72953A33"/>
    <w:rsid w:val="7CB571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2"/>
    <w:basedOn w:val="1"/>
    <w:next w:val="5"/>
    <w:uiPriority w:val="0"/>
    <w:pPr>
      <w:keepNext/>
      <w:keepLines/>
      <w:spacing w:before="200" w:beforeAutospacing="0" w:after="200" w:afterAutospacing="0" w:line="360"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100" w:beforeAutospacing="0" w:after="100" w:afterAutospacing="0" w:line="360" w:lineRule="auto"/>
      <w:outlineLvl w:val="2"/>
    </w:pPr>
    <w:rPr>
      <w:rFonts w:ascii="Times New Roman" w:hAnsi="Times New Roman" w:eastAsia="宋体"/>
      <w:b/>
      <w:sz w:val="30"/>
    </w:rPr>
  </w:style>
  <w:style w:type="paragraph" w:styleId="7">
    <w:name w:val="heading 4"/>
    <w:basedOn w:val="1"/>
    <w:next w:val="1"/>
    <w:qFormat/>
    <w:uiPriority w:val="0"/>
    <w:pPr>
      <w:keepNext/>
      <w:keepLines/>
      <w:numPr>
        <w:ilvl w:val="3"/>
        <w:numId w:val="1"/>
      </w:numPr>
      <w:tabs>
        <w:tab w:val="center" w:pos="6804"/>
        <w:tab w:val="right" w:pos="7371"/>
      </w:tabs>
      <w:outlineLvl w:val="3"/>
    </w:pPr>
    <w:rPr>
      <w:color w:val="800000"/>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qFormat/>
    <w:uiPriority w:val="0"/>
    <w:pPr>
      <w:spacing w:after="120"/>
    </w:pPr>
    <w:rPr>
      <w:rFonts w:ascii="宋体" w:hAnsi="宋体"/>
      <w:snapToGrid w:val="0"/>
      <w:kern w:val="24"/>
      <w:sz w:val="24"/>
      <w:szCs w:val="24"/>
    </w:rPr>
  </w:style>
  <w:style w:type="paragraph" w:customStyle="1" w:styleId="5">
    <w:name w:val="样式1"/>
    <w:basedOn w:val="1"/>
    <w:uiPriority w:val="0"/>
    <w:pPr>
      <w:spacing w:line="360" w:lineRule="auto"/>
      <w:ind w:firstLine="880" w:firstLineChars="200"/>
      <w:jc w:val="left"/>
      <w:outlineLvl w:val="9"/>
    </w:pPr>
    <w:rPr>
      <w:rFonts w:ascii="Times New Roman" w:hAnsi="Times New Roman" w:eastAsia="宋体"/>
      <w:sz w:val="28"/>
    </w:rPr>
  </w:style>
  <w:style w:type="paragraph" w:styleId="8">
    <w:name w:val="footer"/>
    <w:basedOn w:val="1"/>
    <w:link w:val="13"/>
    <w:qFormat/>
    <w:uiPriority w:val="0"/>
    <w:pPr>
      <w:tabs>
        <w:tab w:val="center" w:pos="4153"/>
        <w:tab w:val="right" w:pos="8306"/>
      </w:tabs>
    </w:pPr>
    <w:rPr>
      <w:rFonts w:ascii="Tahoma" w:hAnsi="Tahoma"/>
      <w:sz w:val="18"/>
      <w:szCs w:val="18"/>
    </w:rPr>
  </w:style>
  <w:style w:type="paragraph" w:styleId="9">
    <w:name w:val="header"/>
    <w:basedOn w:val="1"/>
    <w:link w:val="14"/>
    <w:qFormat/>
    <w:uiPriority w:val="0"/>
    <w:pPr>
      <w:pBdr>
        <w:bottom w:val="single" w:color="auto" w:sz="6" w:space="1"/>
      </w:pBdr>
      <w:tabs>
        <w:tab w:val="center" w:pos="4153"/>
        <w:tab w:val="right" w:pos="8306"/>
      </w:tabs>
      <w:jc w:val="center"/>
    </w:pPr>
    <w:rPr>
      <w:rFonts w:ascii="Tahoma" w:hAnsi="Tahoma"/>
      <w:sz w:val="18"/>
      <w:szCs w:val="18"/>
    </w:rPr>
  </w:style>
  <w:style w:type="paragraph" w:customStyle="1" w:styleId="12">
    <w:name w:val=" Char Char Char Char"/>
    <w:basedOn w:val="1"/>
    <w:link w:val="11"/>
    <w:qFormat/>
    <w:uiPriority w:val="0"/>
    <w:pPr>
      <w:tabs>
        <w:tab w:val="right" w:pos="0"/>
      </w:tabs>
      <w:adjustRightInd/>
      <w:spacing w:line="240" w:lineRule="auto"/>
      <w:ind w:firstLine="0"/>
      <w:jc w:val="both"/>
      <w:textAlignment w:val="auto"/>
    </w:pPr>
  </w:style>
  <w:style w:type="character" w:customStyle="1" w:styleId="13">
    <w:name w:val="页脚 Char"/>
    <w:basedOn w:val="11"/>
    <w:link w:val="8"/>
    <w:semiHidden/>
    <w:qFormat/>
    <w:uiPriority w:val="0"/>
    <w:rPr>
      <w:rFonts w:ascii="Tahoma" w:hAnsi="Tahoma"/>
      <w:sz w:val="18"/>
      <w:szCs w:val="18"/>
    </w:rPr>
  </w:style>
  <w:style w:type="character" w:customStyle="1" w:styleId="14">
    <w:name w:val="页眉 Char"/>
    <w:basedOn w:val="11"/>
    <w:link w:val="9"/>
    <w:semiHidden/>
    <w:qFormat/>
    <w:uiPriority w:val="0"/>
    <w:rPr>
      <w:rFonts w:ascii="Tahoma" w:hAnsi="Tahoma"/>
      <w:sz w:val="18"/>
      <w:szCs w:val="18"/>
    </w:rPr>
  </w:style>
  <w:style w:type="paragraph" w:customStyle="1" w:styleId="15">
    <w:name w:val="引文目录标题1"/>
    <w:basedOn w:val="1"/>
    <w:next w:val="1"/>
    <w:qFormat/>
    <w:uiPriority w:val="0"/>
    <w:pPr>
      <w:widowControl w:val="0"/>
      <w:snapToGrid/>
      <w:spacing w:before="120" w:after="0" w:line="398" w:lineRule="atLeast"/>
      <w:jc w:val="both"/>
      <w:textAlignment w:val="baseline"/>
    </w:pPr>
    <w:rPr>
      <w:rFonts w:ascii="Arial" w:hAnsi="Arial" w:eastAsia="宋体" w:cs="Arial"/>
      <w:sz w:val="24"/>
      <w:szCs w:val="24"/>
    </w:rPr>
  </w:style>
  <w:style w:type="paragraph" w:customStyle="1" w:styleId="16">
    <w:name w:val="列出段落1"/>
    <w:basedOn w:val="1"/>
    <w:qFormat/>
    <w:uiPriority w:val="0"/>
    <w:pPr>
      <w:widowControl w:val="0"/>
      <w:adjustRightInd/>
      <w:snapToGrid/>
      <w:spacing w:after="0"/>
      <w:ind w:firstLine="420" w:firstLineChars="200"/>
      <w:jc w:val="both"/>
    </w:pPr>
    <w:rPr>
      <w:rFonts w:ascii="Calibri" w:hAnsi="Calibri" w:eastAsia="宋体"/>
      <w:kern w:val="2"/>
      <w:sz w:val="21"/>
      <w:szCs w:val="24"/>
    </w:rPr>
  </w:style>
  <w:style w:type="paragraph" w:customStyle="1" w:styleId="17">
    <w:name w:val="p0"/>
    <w:basedOn w:val="1"/>
    <w:qFormat/>
    <w:uiPriority w:val="0"/>
    <w:pPr>
      <w:adjustRightInd/>
      <w:snapToGrid/>
      <w:spacing w:after="0"/>
      <w:jc w:val="both"/>
    </w:pPr>
    <w:rPr>
      <w:rFonts w:ascii="Times New Roman" w:hAnsi="Times New Roman" w:eastAsia="宋体"/>
      <w:sz w:val="21"/>
      <w:szCs w:val="21"/>
    </w:rPr>
  </w:style>
  <w:style w:type="paragraph" w:customStyle="1" w:styleId="18">
    <w:name w:val="Body Text First Indent"/>
    <w:basedOn w:val="3"/>
    <w:qFormat/>
    <w:uiPriority w:val="0"/>
    <w:pPr>
      <w:adjustRightInd w:val="0"/>
      <w:spacing w:after="0" w:line="312" w:lineRule="auto"/>
      <w:ind w:firstLine="567"/>
      <w:textAlignment w:val="baseline"/>
    </w:pPr>
    <w:rPr>
      <w:sz w:val="28"/>
    </w:rPr>
  </w:style>
  <w:style w:type="paragraph" w:customStyle="1" w:styleId="19">
    <w:name w:val="Body text|1"/>
    <w:basedOn w:val="1"/>
    <w:qFormat/>
    <w:uiPriority w:val="0"/>
    <w:pPr>
      <w:widowControl w:val="0"/>
      <w:shd w:val="clear" w:color="auto" w:fill="auto"/>
      <w:spacing w:line="360" w:lineRule="auto"/>
    </w:pPr>
    <w:rPr>
      <w:rFonts w:ascii="宋体" w:hAnsi="宋体" w:eastAsia="宋体" w:cs="宋体"/>
      <w:sz w:val="22"/>
      <w:szCs w:val="22"/>
      <w:u w:val="none"/>
      <w:shd w:val="clear" w:color="auto" w:fill="auto"/>
      <w:lang w:val="zh-TW" w:eastAsia="zh-TW" w:bidi="zh-TW"/>
    </w:rPr>
  </w:style>
  <w:style w:type="character" w:customStyle="1" w:styleId="20">
    <w:name w:val="page number"/>
    <w:basedOn w:val="11"/>
    <w:qFormat/>
    <w:uiPriority w:val="0"/>
    <w:rPr>
      <w:rFonts w:ascii="Times New Roman"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8143</Words>
  <Characters>9014</Characters>
  <Lines>71</Lines>
  <Paragraphs>20</Paragraphs>
  <TotalTime>79</TotalTime>
  <ScaleCrop>false</ScaleCrop>
  <LinksUpToDate>false</LinksUpToDate>
  <CharactersWithSpaces>9203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2008-09-18T17:20:00Z</dcterms:created>
  <dc:creator>Administrator</dc:creator>
  <cp:lastModifiedBy>Administrator</cp:lastModifiedBy>
  <cp:lastPrinted>2021-08-06T16:56:00Z</cp:lastPrinted>
  <dcterms:modified xsi:type="dcterms:W3CDTF">2022-04-06T02:59:37Z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4FE148D330804A8DB01C226E9696379E</vt:lpwstr>
  </property>
</Properties>
</file>